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24" w:rsidRDefault="00BE7DF9" w:rsidP="004E23CC">
      <w:pPr>
        <w:spacing w:after="0"/>
        <w:jc w:val="center"/>
      </w:pPr>
      <w:r w:rsidRPr="00BE7DF9">
        <w:rPr>
          <w:b/>
        </w:rPr>
        <w:t xml:space="preserve">VALORIZZAZIONE </w:t>
      </w:r>
      <w:r w:rsidR="004663F2">
        <w:rPr>
          <w:b/>
        </w:rPr>
        <w:t>DEL MERITO DEL  PERSONALE DOCENTE</w:t>
      </w:r>
    </w:p>
    <w:p w:rsidR="00FE024F" w:rsidRDefault="00FE024F" w:rsidP="00BE7DF9">
      <w:pPr>
        <w:jc w:val="center"/>
      </w:pPr>
      <w:r>
        <w:t>Report di analisi su campion</w:t>
      </w:r>
      <w:r w:rsidR="00BE7DF9">
        <w:t>e di scuole della Regione (20%)</w:t>
      </w:r>
    </w:p>
    <w:p w:rsidR="00BE7DF9" w:rsidRDefault="00FE024F" w:rsidP="00BE7DF9">
      <w:pPr>
        <w:jc w:val="both"/>
        <w:rPr>
          <w:b/>
        </w:rPr>
      </w:pPr>
      <w:r w:rsidRPr="005875DC">
        <w:rPr>
          <w:b/>
        </w:rPr>
        <w:t>Premessa</w:t>
      </w:r>
    </w:p>
    <w:p w:rsidR="004663F2" w:rsidRDefault="004663F2" w:rsidP="004663F2">
      <w:pPr>
        <w:spacing w:before="100" w:beforeAutospacing="1" w:after="105" w:line="360" w:lineRule="auto"/>
        <w:jc w:val="both"/>
      </w:pPr>
      <w:r>
        <w:t>L’esi</w:t>
      </w:r>
      <w:r w:rsidR="00541B00">
        <w:t>to del primo monitoraggio INDIRE</w:t>
      </w:r>
      <w:r w:rsidR="00541B00">
        <w:rPr>
          <w:rStyle w:val="Rimandonotaapidipagina"/>
        </w:rPr>
        <w:footnoteReference w:id="1"/>
      </w:r>
      <w:r>
        <w:t xml:space="preserve">, pubblicato il 14 luglio 2016, mostrava che in Piemonte solo il  51% delle scuole aveva  costituito il Comitato di Valutazione e soltanto il 39,6% aveva formulato i criteri per la valorizzazione del merito. La situazione generale a livello regionale, monitorata a settembre 2016, ha rivelato esiti moto diversi, evidenziando invece che la grande maggioranza delle scuole entro il 31 agosto, data prevista per la compilazione di tutte le tre schede di monitoraggio, aveva provveduto a tutti gli adempimenti previsti. Facevano eccezione 26 scuole che non risultavano aver compilato la scheda 3 della rilevazione (oltre, in molti casi, alla scheda 2 o addirittura a entrambe), inducendo a presumere che non fosse stata portata a termine la procedura di assegnazione del bonus. L’ufficio dirigenti tecnici ha richiesto agli istituti interessati qualche specificazione in merito e ha ottenuto la conferma da tutte le 26 scuole interessate che le operazioni relative all’attribuzione del bonus docenti erano state correttamente concluse e che la mancata compilazione era attribuibile a ragioni di mancanza di tempo, problemi tecnici o altri fattori contingenti. </w:t>
      </w:r>
    </w:p>
    <w:p w:rsidR="004663F2" w:rsidRDefault="004663F2" w:rsidP="004663F2">
      <w:pPr>
        <w:spacing w:before="100" w:beforeAutospacing="1" w:after="105" w:line="360" w:lineRule="auto"/>
        <w:jc w:val="both"/>
      </w:pPr>
      <w:r>
        <w:t xml:space="preserve">Per condurre un’analisi più  approfondita sulle modalità adottate dalle scuole della regione rispetto  al  tema della valorizzazione del merito del personale docente, si è deciso di individuare un campione </w:t>
      </w:r>
      <w:r w:rsidR="008507EB" w:rsidRPr="00DE42BC">
        <w:t>casuale</w:t>
      </w:r>
      <w:r w:rsidR="008507EB">
        <w:t xml:space="preserve"> </w:t>
      </w:r>
      <w:r>
        <w:t>di istituti  da analizzare dettagliatamente pari</w:t>
      </w:r>
      <w:r w:rsidR="00DE42BC">
        <w:t xml:space="preserve"> </w:t>
      </w:r>
      <w:r>
        <w:t>al 20% delle istituzioni scolastiche operanti sul territorio, scelte in modo da essere rappresentative in proporzione di tutte le province e di tutti gli  ordini di scuola.</w:t>
      </w:r>
    </w:p>
    <w:p w:rsidR="00673612" w:rsidRDefault="00673612" w:rsidP="00673612">
      <w:pPr>
        <w:spacing w:line="360" w:lineRule="auto"/>
        <w:jc w:val="both"/>
      </w:pPr>
      <w:r>
        <w:t xml:space="preserve">Le scuole della Regione prese in considerazione per la definizione del </w:t>
      </w:r>
      <w:r w:rsidRPr="005875DC">
        <w:rPr>
          <w:b/>
        </w:rPr>
        <w:t>campione  statistico sono 122</w:t>
      </w:r>
      <w:r>
        <w:rPr>
          <w:rStyle w:val="Rimandonotaapidipagina"/>
          <w:b/>
        </w:rPr>
        <w:footnoteReference w:id="2"/>
      </w:r>
      <w:r>
        <w:t xml:space="preserve">  (20% del totale ) così distribuite:</w:t>
      </w:r>
    </w:p>
    <w:tbl>
      <w:tblPr>
        <w:tblStyle w:val="Sfondochiaro-Colore5"/>
        <w:tblW w:w="0" w:type="auto"/>
        <w:tblLook w:val="04A0" w:firstRow="1" w:lastRow="0" w:firstColumn="1" w:lastColumn="0" w:noHBand="0" w:noVBand="1"/>
      </w:tblPr>
      <w:tblGrid>
        <w:gridCol w:w="2444"/>
        <w:gridCol w:w="2444"/>
        <w:gridCol w:w="2445"/>
        <w:gridCol w:w="2445"/>
      </w:tblGrid>
      <w:tr w:rsidR="00673612" w:rsidRPr="00FE024F" w:rsidTr="000A0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673612" w:rsidRPr="00FE024F" w:rsidRDefault="00673612" w:rsidP="000A05D0">
            <w:pPr>
              <w:jc w:val="center"/>
              <w:rPr>
                <w:sz w:val="16"/>
                <w:szCs w:val="16"/>
              </w:rPr>
            </w:pPr>
            <w:r>
              <w:rPr>
                <w:sz w:val="16"/>
                <w:szCs w:val="16"/>
              </w:rPr>
              <w:t>CAMPIONE</w:t>
            </w:r>
          </w:p>
        </w:tc>
        <w:tc>
          <w:tcPr>
            <w:tcW w:w="2444" w:type="dxa"/>
          </w:tcPr>
          <w:p w:rsidR="00673612" w:rsidRPr="00FE024F" w:rsidRDefault="00673612" w:rsidP="000A05D0">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I ciclo</w:t>
            </w:r>
          </w:p>
        </w:tc>
        <w:tc>
          <w:tcPr>
            <w:tcW w:w="2445" w:type="dxa"/>
          </w:tcPr>
          <w:p w:rsidR="00673612" w:rsidRPr="00FE024F" w:rsidRDefault="00673612" w:rsidP="000A05D0">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II ciclo</w:t>
            </w:r>
          </w:p>
        </w:tc>
        <w:tc>
          <w:tcPr>
            <w:tcW w:w="2445" w:type="dxa"/>
          </w:tcPr>
          <w:p w:rsidR="00673612" w:rsidRPr="00FE024F" w:rsidRDefault="00673612" w:rsidP="000A05D0">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Tot. per riga</w:t>
            </w:r>
          </w:p>
        </w:tc>
      </w:tr>
      <w:tr w:rsidR="00673612" w:rsidRPr="00FE024F" w:rsidTr="000A0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673612" w:rsidRPr="00FE024F" w:rsidRDefault="00673612" w:rsidP="000A05D0">
            <w:pPr>
              <w:jc w:val="center"/>
              <w:rPr>
                <w:sz w:val="16"/>
                <w:szCs w:val="16"/>
              </w:rPr>
            </w:pPr>
            <w:r>
              <w:rPr>
                <w:sz w:val="16"/>
                <w:szCs w:val="16"/>
              </w:rPr>
              <w:t>AL</w:t>
            </w:r>
          </w:p>
        </w:tc>
        <w:tc>
          <w:tcPr>
            <w:tcW w:w="2444" w:type="dxa"/>
          </w:tcPr>
          <w:p w:rsidR="00673612" w:rsidRPr="00FE024F" w:rsidRDefault="00673612" w:rsidP="000A05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w:t>
            </w:r>
          </w:p>
        </w:tc>
        <w:tc>
          <w:tcPr>
            <w:tcW w:w="2445" w:type="dxa"/>
          </w:tcPr>
          <w:p w:rsidR="00673612" w:rsidRPr="00FE024F" w:rsidRDefault="00673612" w:rsidP="000A05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w:t>
            </w:r>
          </w:p>
        </w:tc>
        <w:tc>
          <w:tcPr>
            <w:tcW w:w="2445" w:type="dxa"/>
          </w:tcPr>
          <w:p w:rsidR="00673612" w:rsidRPr="00FE024F" w:rsidRDefault="00673612" w:rsidP="000A05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w:t>
            </w:r>
          </w:p>
        </w:tc>
      </w:tr>
      <w:tr w:rsidR="00673612" w:rsidRPr="00FE024F" w:rsidTr="000A05D0">
        <w:tc>
          <w:tcPr>
            <w:cnfStyle w:val="001000000000" w:firstRow="0" w:lastRow="0" w:firstColumn="1" w:lastColumn="0" w:oddVBand="0" w:evenVBand="0" w:oddHBand="0" w:evenHBand="0" w:firstRowFirstColumn="0" w:firstRowLastColumn="0" w:lastRowFirstColumn="0" w:lastRowLastColumn="0"/>
            <w:tcW w:w="2444" w:type="dxa"/>
          </w:tcPr>
          <w:p w:rsidR="00673612" w:rsidRPr="00FE024F" w:rsidRDefault="00673612" w:rsidP="000A05D0">
            <w:pPr>
              <w:jc w:val="center"/>
              <w:rPr>
                <w:sz w:val="16"/>
                <w:szCs w:val="16"/>
              </w:rPr>
            </w:pPr>
            <w:r>
              <w:rPr>
                <w:sz w:val="16"/>
                <w:szCs w:val="16"/>
              </w:rPr>
              <w:t>AT</w:t>
            </w:r>
          </w:p>
        </w:tc>
        <w:tc>
          <w:tcPr>
            <w:tcW w:w="2444" w:type="dxa"/>
          </w:tcPr>
          <w:p w:rsidR="00673612" w:rsidRPr="00FE024F" w:rsidRDefault="00673612" w:rsidP="000A05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w:t>
            </w:r>
          </w:p>
        </w:tc>
        <w:tc>
          <w:tcPr>
            <w:tcW w:w="2445" w:type="dxa"/>
          </w:tcPr>
          <w:p w:rsidR="00673612" w:rsidRPr="00FE024F" w:rsidRDefault="00673612" w:rsidP="000A05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2445" w:type="dxa"/>
          </w:tcPr>
          <w:p w:rsidR="00673612" w:rsidRPr="00FE024F" w:rsidRDefault="00673612" w:rsidP="000A05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p>
        </w:tc>
      </w:tr>
      <w:tr w:rsidR="00673612" w:rsidRPr="00FE024F" w:rsidTr="000A0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673612" w:rsidRPr="00FE024F" w:rsidRDefault="00673612" w:rsidP="000A05D0">
            <w:pPr>
              <w:jc w:val="center"/>
              <w:rPr>
                <w:sz w:val="16"/>
                <w:szCs w:val="16"/>
              </w:rPr>
            </w:pPr>
            <w:r>
              <w:rPr>
                <w:sz w:val="16"/>
                <w:szCs w:val="16"/>
              </w:rPr>
              <w:t>BI</w:t>
            </w:r>
          </w:p>
        </w:tc>
        <w:tc>
          <w:tcPr>
            <w:tcW w:w="2444" w:type="dxa"/>
          </w:tcPr>
          <w:p w:rsidR="00673612" w:rsidRPr="00FE024F" w:rsidRDefault="00673612" w:rsidP="000A05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p>
        </w:tc>
        <w:tc>
          <w:tcPr>
            <w:tcW w:w="2445" w:type="dxa"/>
          </w:tcPr>
          <w:p w:rsidR="00673612" w:rsidRPr="00FE024F" w:rsidRDefault="00673612" w:rsidP="000A05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tc>
        <w:tc>
          <w:tcPr>
            <w:tcW w:w="2445" w:type="dxa"/>
          </w:tcPr>
          <w:p w:rsidR="00673612" w:rsidRPr="00FE024F" w:rsidRDefault="00673612" w:rsidP="000A05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w:t>
            </w:r>
          </w:p>
        </w:tc>
      </w:tr>
      <w:tr w:rsidR="00673612" w:rsidRPr="00FE024F" w:rsidTr="000A05D0">
        <w:tc>
          <w:tcPr>
            <w:cnfStyle w:val="001000000000" w:firstRow="0" w:lastRow="0" w:firstColumn="1" w:lastColumn="0" w:oddVBand="0" w:evenVBand="0" w:oddHBand="0" w:evenHBand="0" w:firstRowFirstColumn="0" w:firstRowLastColumn="0" w:lastRowFirstColumn="0" w:lastRowLastColumn="0"/>
            <w:tcW w:w="2444" w:type="dxa"/>
          </w:tcPr>
          <w:p w:rsidR="00673612" w:rsidRPr="00FE024F" w:rsidRDefault="00673612" w:rsidP="000A05D0">
            <w:pPr>
              <w:jc w:val="center"/>
              <w:rPr>
                <w:sz w:val="16"/>
                <w:szCs w:val="16"/>
              </w:rPr>
            </w:pPr>
            <w:r>
              <w:rPr>
                <w:sz w:val="16"/>
                <w:szCs w:val="16"/>
              </w:rPr>
              <w:t>CN</w:t>
            </w:r>
          </w:p>
        </w:tc>
        <w:tc>
          <w:tcPr>
            <w:tcW w:w="2444" w:type="dxa"/>
          </w:tcPr>
          <w:p w:rsidR="00673612" w:rsidRPr="00FE024F" w:rsidRDefault="00673612" w:rsidP="000A05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w:t>
            </w:r>
          </w:p>
        </w:tc>
        <w:tc>
          <w:tcPr>
            <w:tcW w:w="2445" w:type="dxa"/>
          </w:tcPr>
          <w:p w:rsidR="00673612" w:rsidRPr="00FE024F" w:rsidRDefault="00673612" w:rsidP="000A05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p>
        </w:tc>
        <w:tc>
          <w:tcPr>
            <w:tcW w:w="2445" w:type="dxa"/>
          </w:tcPr>
          <w:p w:rsidR="00673612" w:rsidRPr="00FE024F" w:rsidRDefault="00673612" w:rsidP="000A05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w:t>
            </w:r>
          </w:p>
        </w:tc>
      </w:tr>
      <w:tr w:rsidR="00673612" w:rsidRPr="00FE024F" w:rsidTr="000A0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673612" w:rsidRPr="00FE024F" w:rsidRDefault="00673612" w:rsidP="000A05D0">
            <w:pPr>
              <w:jc w:val="center"/>
              <w:rPr>
                <w:sz w:val="16"/>
                <w:szCs w:val="16"/>
              </w:rPr>
            </w:pPr>
            <w:r>
              <w:rPr>
                <w:sz w:val="16"/>
                <w:szCs w:val="16"/>
              </w:rPr>
              <w:t>NO</w:t>
            </w:r>
          </w:p>
        </w:tc>
        <w:tc>
          <w:tcPr>
            <w:tcW w:w="2444" w:type="dxa"/>
          </w:tcPr>
          <w:p w:rsidR="00673612" w:rsidRPr="00FE024F" w:rsidRDefault="00673612" w:rsidP="000A05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w:t>
            </w:r>
          </w:p>
        </w:tc>
        <w:tc>
          <w:tcPr>
            <w:tcW w:w="2445" w:type="dxa"/>
          </w:tcPr>
          <w:p w:rsidR="00673612" w:rsidRPr="00FE024F" w:rsidRDefault="00673612" w:rsidP="000A05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p>
        </w:tc>
        <w:tc>
          <w:tcPr>
            <w:tcW w:w="2445" w:type="dxa"/>
          </w:tcPr>
          <w:p w:rsidR="00673612" w:rsidRPr="00FE024F" w:rsidRDefault="00673612" w:rsidP="000A05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w:t>
            </w:r>
          </w:p>
        </w:tc>
      </w:tr>
      <w:tr w:rsidR="00673612" w:rsidRPr="00FE024F" w:rsidTr="000A05D0">
        <w:tc>
          <w:tcPr>
            <w:cnfStyle w:val="001000000000" w:firstRow="0" w:lastRow="0" w:firstColumn="1" w:lastColumn="0" w:oddVBand="0" w:evenVBand="0" w:oddHBand="0" w:evenHBand="0" w:firstRowFirstColumn="0" w:firstRowLastColumn="0" w:lastRowFirstColumn="0" w:lastRowLastColumn="0"/>
            <w:tcW w:w="2444" w:type="dxa"/>
          </w:tcPr>
          <w:p w:rsidR="00673612" w:rsidRPr="00FE024F" w:rsidRDefault="00673612" w:rsidP="000A05D0">
            <w:pPr>
              <w:jc w:val="center"/>
              <w:rPr>
                <w:sz w:val="16"/>
                <w:szCs w:val="16"/>
              </w:rPr>
            </w:pPr>
            <w:r>
              <w:rPr>
                <w:sz w:val="16"/>
                <w:szCs w:val="16"/>
              </w:rPr>
              <w:t>TO</w:t>
            </w:r>
          </w:p>
        </w:tc>
        <w:tc>
          <w:tcPr>
            <w:tcW w:w="2444" w:type="dxa"/>
          </w:tcPr>
          <w:p w:rsidR="00673612" w:rsidRPr="00FE024F" w:rsidRDefault="00673612" w:rsidP="000A05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41</w:t>
            </w:r>
          </w:p>
        </w:tc>
        <w:tc>
          <w:tcPr>
            <w:tcW w:w="2445" w:type="dxa"/>
          </w:tcPr>
          <w:p w:rsidR="00673612" w:rsidRPr="00FE024F" w:rsidRDefault="00673612" w:rsidP="000A05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w:t>
            </w:r>
          </w:p>
        </w:tc>
        <w:tc>
          <w:tcPr>
            <w:tcW w:w="2445" w:type="dxa"/>
          </w:tcPr>
          <w:p w:rsidR="00673612" w:rsidRPr="00FE024F" w:rsidRDefault="00673612" w:rsidP="000A05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58</w:t>
            </w:r>
          </w:p>
        </w:tc>
      </w:tr>
      <w:tr w:rsidR="00673612" w:rsidRPr="00FE024F" w:rsidTr="000A0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673612" w:rsidRPr="00FE024F" w:rsidRDefault="00673612" w:rsidP="000A05D0">
            <w:pPr>
              <w:jc w:val="center"/>
              <w:rPr>
                <w:sz w:val="16"/>
                <w:szCs w:val="16"/>
              </w:rPr>
            </w:pPr>
            <w:r>
              <w:rPr>
                <w:sz w:val="16"/>
                <w:szCs w:val="16"/>
              </w:rPr>
              <w:t>VCO</w:t>
            </w:r>
          </w:p>
        </w:tc>
        <w:tc>
          <w:tcPr>
            <w:tcW w:w="2444" w:type="dxa"/>
          </w:tcPr>
          <w:p w:rsidR="00673612" w:rsidRPr="00FE024F" w:rsidRDefault="00673612" w:rsidP="000A05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w:t>
            </w:r>
          </w:p>
        </w:tc>
        <w:tc>
          <w:tcPr>
            <w:tcW w:w="2445" w:type="dxa"/>
          </w:tcPr>
          <w:p w:rsidR="00673612" w:rsidRPr="00FE024F" w:rsidRDefault="00673612" w:rsidP="000A05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tc>
        <w:tc>
          <w:tcPr>
            <w:tcW w:w="2445" w:type="dxa"/>
          </w:tcPr>
          <w:p w:rsidR="00673612" w:rsidRPr="00FE024F" w:rsidRDefault="00673612" w:rsidP="000A05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w:t>
            </w:r>
          </w:p>
        </w:tc>
      </w:tr>
      <w:tr w:rsidR="00673612" w:rsidRPr="00FE024F" w:rsidTr="000A05D0">
        <w:tc>
          <w:tcPr>
            <w:cnfStyle w:val="001000000000" w:firstRow="0" w:lastRow="0" w:firstColumn="1" w:lastColumn="0" w:oddVBand="0" w:evenVBand="0" w:oddHBand="0" w:evenHBand="0" w:firstRowFirstColumn="0" w:firstRowLastColumn="0" w:lastRowFirstColumn="0" w:lastRowLastColumn="0"/>
            <w:tcW w:w="2444" w:type="dxa"/>
          </w:tcPr>
          <w:p w:rsidR="00673612" w:rsidRPr="00FE024F" w:rsidRDefault="00673612" w:rsidP="000A05D0">
            <w:pPr>
              <w:jc w:val="center"/>
              <w:rPr>
                <w:sz w:val="16"/>
                <w:szCs w:val="16"/>
              </w:rPr>
            </w:pPr>
            <w:r>
              <w:rPr>
                <w:sz w:val="16"/>
                <w:szCs w:val="16"/>
              </w:rPr>
              <w:t>VC</w:t>
            </w:r>
          </w:p>
        </w:tc>
        <w:tc>
          <w:tcPr>
            <w:tcW w:w="2444" w:type="dxa"/>
          </w:tcPr>
          <w:p w:rsidR="00673612" w:rsidRPr="00FE024F" w:rsidRDefault="00673612" w:rsidP="000A05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2445" w:type="dxa"/>
          </w:tcPr>
          <w:p w:rsidR="00673612" w:rsidRPr="00FE024F" w:rsidRDefault="00673612" w:rsidP="000A05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2445" w:type="dxa"/>
          </w:tcPr>
          <w:p w:rsidR="00673612" w:rsidRPr="00FE024F" w:rsidRDefault="00673612" w:rsidP="000A05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w:t>
            </w:r>
          </w:p>
        </w:tc>
      </w:tr>
      <w:tr w:rsidR="00673612" w:rsidRPr="00FE024F" w:rsidTr="000A0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673612" w:rsidRPr="00FE024F" w:rsidRDefault="00673612" w:rsidP="000A05D0">
            <w:pPr>
              <w:jc w:val="center"/>
              <w:rPr>
                <w:sz w:val="16"/>
                <w:szCs w:val="16"/>
              </w:rPr>
            </w:pPr>
            <w:r>
              <w:rPr>
                <w:sz w:val="16"/>
                <w:szCs w:val="16"/>
              </w:rPr>
              <w:t xml:space="preserve">Tot. per colonna </w:t>
            </w:r>
          </w:p>
        </w:tc>
        <w:tc>
          <w:tcPr>
            <w:tcW w:w="2444" w:type="dxa"/>
          </w:tcPr>
          <w:p w:rsidR="00673612" w:rsidRPr="00FE024F" w:rsidRDefault="00673612" w:rsidP="000A05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83</w:t>
            </w:r>
          </w:p>
        </w:tc>
        <w:tc>
          <w:tcPr>
            <w:tcW w:w="2445" w:type="dxa"/>
          </w:tcPr>
          <w:p w:rsidR="00673612" w:rsidRPr="00FE024F" w:rsidRDefault="00673612" w:rsidP="000A05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39</w:t>
            </w:r>
          </w:p>
        </w:tc>
        <w:tc>
          <w:tcPr>
            <w:tcW w:w="2445" w:type="dxa"/>
          </w:tcPr>
          <w:p w:rsidR="00673612" w:rsidRPr="00FE024F" w:rsidRDefault="00673612" w:rsidP="000A05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122</w:t>
            </w:r>
          </w:p>
        </w:tc>
      </w:tr>
    </w:tbl>
    <w:p w:rsidR="00673612" w:rsidRDefault="00673612" w:rsidP="004663F2">
      <w:pPr>
        <w:spacing w:before="100" w:beforeAutospacing="1" w:after="105" w:line="360" w:lineRule="auto"/>
        <w:jc w:val="both"/>
      </w:pPr>
    </w:p>
    <w:p w:rsidR="00DA0C1E" w:rsidRPr="00BE7DF9" w:rsidRDefault="005875DC" w:rsidP="00BE7DF9">
      <w:pPr>
        <w:spacing w:line="360" w:lineRule="auto"/>
        <w:jc w:val="both"/>
        <w:rPr>
          <w:b/>
        </w:rPr>
      </w:pPr>
      <w:r w:rsidRPr="005875DC">
        <w:t>I dati utilizzati provengo</w:t>
      </w:r>
      <w:r>
        <w:t>no</w:t>
      </w:r>
      <w:r w:rsidRPr="005875DC">
        <w:t xml:space="preserve"> dall</w:t>
      </w:r>
      <w:r>
        <w:t xml:space="preserve">a sezione dedicata </w:t>
      </w:r>
      <w:r w:rsidRPr="005875DC">
        <w:t xml:space="preserve"> –Sistema </w:t>
      </w:r>
      <w:r>
        <w:t>Nazionale di Valutazione</w:t>
      </w:r>
      <w:r>
        <w:rPr>
          <w:rStyle w:val="Rimandonotaapidipagina"/>
        </w:rPr>
        <w:footnoteReference w:id="3"/>
      </w:r>
      <w:r>
        <w:t>, area Valorizzazione Professionale accessibile alle scuole per la compilazione del monitoraggio in riferimento alla n</w:t>
      </w:r>
      <w:r w:rsidR="00DA0C1E">
        <w:t xml:space="preserve">ota </w:t>
      </w:r>
      <w:proofErr w:type="spellStart"/>
      <w:r w:rsidR="00DA0C1E">
        <w:t>prot</w:t>
      </w:r>
      <w:proofErr w:type="spellEnd"/>
      <w:r w:rsidR="00DA0C1E">
        <w:t>. N</w:t>
      </w:r>
      <w:r>
        <w:t xml:space="preserve">. 4370 del 20/04/2016 e alla </w:t>
      </w:r>
      <w:r w:rsidR="00DA0C1E">
        <w:t xml:space="preserve"> Circ</w:t>
      </w:r>
      <w:r>
        <w:t>olare</w:t>
      </w:r>
      <w:r w:rsidR="00DA0C1E">
        <w:t xml:space="preserve">. </w:t>
      </w:r>
      <w:proofErr w:type="spellStart"/>
      <w:r w:rsidR="00DA0C1E">
        <w:t>prot</w:t>
      </w:r>
      <w:proofErr w:type="spellEnd"/>
      <w:r w:rsidR="00DA0C1E">
        <w:t>. N. 4542 del 27/04/2016</w:t>
      </w:r>
      <w:r>
        <w:t>.</w:t>
      </w:r>
    </w:p>
    <w:p w:rsidR="00E77560" w:rsidRDefault="00E77560" w:rsidP="00BE7DF9">
      <w:pPr>
        <w:spacing w:line="360" w:lineRule="auto"/>
      </w:pPr>
      <w:r>
        <w:t>La rilevazione prevede tre schede:</w:t>
      </w:r>
    </w:p>
    <w:p w:rsidR="00E77560" w:rsidRPr="00E77560" w:rsidRDefault="00E77560" w:rsidP="00BE7DF9">
      <w:pPr>
        <w:numPr>
          <w:ilvl w:val="0"/>
          <w:numId w:val="5"/>
        </w:numPr>
        <w:spacing w:after="0" w:line="360" w:lineRule="auto"/>
        <w:rPr>
          <w:rFonts w:eastAsia="Times New Roman" w:cs="Arial"/>
          <w:lang w:eastAsia="it-IT"/>
        </w:rPr>
      </w:pPr>
      <w:r w:rsidRPr="00E77560">
        <w:rPr>
          <w:rFonts w:eastAsia="Times New Roman" w:cs="Arial"/>
          <w:lang w:eastAsia="it-IT"/>
        </w:rPr>
        <w:t>La composizione del Comitato per la valorizzazione del merito</w:t>
      </w:r>
    </w:p>
    <w:p w:rsidR="00E77560" w:rsidRPr="00E77560" w:rsidRDefault="00E77560" w:rsidP="00BE7DF9">
      <w:pPr>
        <w:numPr>
          <w:ilvl w:val="0"/>
          <w:numId w:val="5"/>
        </w:numPr>
        <w:spacing w:before="100" w:beforeAutospacing="1" w:after="0" w:line="360" w:lineRule="auto"/>
        <w:rPr>
          <w:rFonts w:eastAsia="Times New Roman" w:cs="Arial"/>
          <w:lang w:eastAsia="it-IT"/>
        </w:rPr>
      </w:pPr>
      <w:r w:rsidRPr="00E77560">
        <w:rPr>
          <w:rFonts w:eastAsia="Times New Roman" w:cs="Arial"/>
          <w:lang w:eastAsia="it-IT"/>
        </w:rPr>
        <w:t>La definizione dei criteri per la valorizzazione del merito</w:t>
      </w:r>
    </w:p>
    <w:p w:rsidR="00E77560" w:rsidRPr="00E77560" w:rsidRDefault="00E77560" w:rsidP="00BE7DF9">
      <w:pPr>
        <w:numPr>
          <w:ilvl w:val="0"/>
          <w:numId w:val="5"/>
        </w:numPr>
        <w:spacing w:before="100" w:beforeAutospacing="1" w:after="105" w:line="360" w:lineRule="auto"/>
        <w:rPr>
          <w:rFonts w:eastAsia="Times New Roman" w:cs="Arial"/>
          <w:lang w:eastAsia="it-IT"/>
        </w:rPr>
      </w:pPr>
      <w:r w:rsidRPr="00E77560">
        <w:rPr>
          <w:rFonts w:eastAsia="Times New Roman" w:cs="Arial"/>
          <w:lang w:eastAsia="it-IT"/>
        </w:rPr>
        <w:t>L’utilizzo del bonus</w:t>
      </w:r>
    </w:p>
    <w:p w:rsidR="00BE7DF9" w:rsidRDefault="00E77560" w:rsidP="00BE7DF9">
      <w:pPr>
        <w:spacing w:before="100" w:beforeAutospacing="1" w:after="105" w:line="360" w:lineRule="auto"/>
      </w:pPr>
      <w:r w:rsidRPr="00E77560">
        <w:rPr>
          <w:rFonts w:eastAsia="Times New Roman" w:cs="Arial"/>
          <w:lang w:eastAsia="it-IT"/>
        </w:rPr>
        <w:t xml:space="preserve">Il presente report analizza esclusivamente le schede 2 e 3. </w:t>
      </w:r>
      <w:r w:rsidR="005875DC">
        <w:t xml:space="preserve">I dati sono presentati </w:t>
      </w:r>
      <w:r>
        <w:t>attraverso grafici e tabelle e disaggregati per ordine scolastico nel caso i valori siano significativi.</w:t>
      </w:r>
    </w:p>
    <w:p w:rsidR="004D4753" w:rsidRDefault="004D4753" w:rsidP="00BE7DF9">
      <w:pPr>
        <w:spacing w:before="100" w:beforeAutospacing="1" w:after="105" w:line="360" w:lineRule="auto"/>
        <w:rPr>
          <w:b/>
        </w:rPr>
      </w:pPr>
      <w:r w:rsidRPr="004D4753">
        <w:rPr>
          <w:b/>
        </w:rPr>
        <w:t>STATO DELLA COMPILAZIONE DELLE SCHEDE 2 E 3</w:t>
      </w:r>
    </w:p>
    <w:p w:rsidR="00FB763E" w:rsidRDefault="00FB763E" w:rsidP="00E14922">
      <w:pPr>
        <w:spacing w:before="100" w:beforeAutospacing="1" w:after="105" w:line="360" w:lineRule="auto"/>
        <w:jc w:val="both"/>
      </w:pPr>
      <w:r>
        <w:t xml:space="preserve">Considerando invece le 122 scuole del campione regionale scelto per la rilevazione, la situazione </w:t>
      </w:r>
      <w:r w:rsidR="00985AA6">
        <w:t>risulta essere</w:t>
      </w:r>
      <w:r>
        <w:t xml:space="preserve"> la seguente:</w:t>
      </w:r>
    </w:p>
    <w:p w:rsidR="004D4753" w:rsidRPr="00FB763E" w:rsidRDefault="004D4753" w:rsidP="00FB763E">
      <w:pPr>
        <w:pStyle w:val="Paragrafoelenco"/>
        <w:numPr>
          <w:ilvl w:val="0"/>
          <w:numId w:val="8"/>
        </w:numPr>
        <w:spacing w:before="100" w:beforeAutospacing="1" w:after="105" w:line="360" w:lineRule="auto"/>
        <w:jc w:val="both"/>
        <w:rPr>
          <w:rFonts w:eastAsia="Times New Roman" w:cs="Arial"/>
          <w:lang w:eastAsia="it-IT"/>
        </w:rPr>
      </w:pPr>
      <w:r w:rsidRPr="00FB763E">
        <w:rPr>
          <w:b/>
        </w:rPr>
        <w:t xml:space="preserve">18 non </w:t>
      </w:r>
      <w:r w:rsidR="00985AA6">
        <w:rPr>
          <w:b/>
        </w:rPr>
        <w:t xml:space="preserve">hanno </w:t>
      </w:r>
      <w:r w:rsidRPr="00FB763E">
        <w:rPr>
          <w:b/>
        </w:rPr>
        <w:t>compila</w:t>
      </w:r>
      <w:r w:rsidR="00985AA6">
        <w:rPr>
          <w:b/>
        </w:rPr>
        <w:t>t</w:t>
      </w:r>
      <w:r w:rsidRPr="00FB763E">
        <w:rPr>
          <w:b/>
        </w:rPr>
        <w:t>o la scheda 2</w:t>
      </w:r>
      <w:r>
        <w:t xml:space="preserve"> - </w:t>
      </w:r>
      <w:r w:rsidRPr="00FB763E">
        <w:rPr>
          <w:rFonts w:eastAsia="Times New Roman" w:cs="Arial"/>
          <w:lang w:eastAsia="it-IT"/>
        </w:rPr>
        <w:t xml:space="preserve">La definizione dei criteri per la valorizzazione del merito  - </w:t>
      </w:r>
      <w:r w:rsidRPr="00FB763E">
        <w:rPr>
          <w:rFonts w:eastAsia="Times New Roman" w:cs="Arial"/>
          <w:b/>
          <w:lang w:eastAsia="it-IT"/>
        </w:rPr>
        <w:t xml:space="preserve">ma </w:t>
      </w:r>
      <w:r w:rsidR="00985AA6">
        <w:rPr>
          <w:rFonts w:eastAsia="Times New Roman" w:cs="Arial"/>
          <w:b/>
          <w:lang w:eastAsia="it-IT"/>
        </w:rPr>
        <w:t>hanno compilat</w:t>
      </w:r>
      <w:r w:rsidRPr="00FB763E">
        <w:rPr>
          <w:rFonts w:eastAsia="Times New Roman" w:cs="Arial"/>
          <w:b/>
          <w:lang w:eastAsia="it-IT"/>
        </w:rPr>
        <w:t>o la scheda 3</w:t>
      </w:r>
      <w:r w:rsidRPr="00FB763E">
        <w:rPr>
          <w:rFonts w:eastAsia="Times New Roman" w:cs="Arial"/>
          <w:lang w:eastAsia="it-IT"/>
        </w:rPr>
        <w:t xml:space="preserve"> - L’utilizzo del bonus –</w:t>
      </w:r>
    </w:p>
    <w:p w:rsidR="00FB763E" w:rsidRDefault="004D4753" w:rsidP="00FB763E">
      <w:pPr>
        <w:pStyle w:val="Paragrafoelenco"/>
        <w:numPr>
          <w:ilvl w:val="0"/>
          <w:numId w:val="8"/>
        </w:numPr>
        <w:spacing w:before="100" w:beforeAutospacing="1" w:after="105" w:line="360" w:lineRule="auto"/>
        <w:jc w:val="both"/>
        <w:rPr>
          <w:rFonts w:eastAsia="Times New Roman" w:cs="Arial"/>
          <w:lang w:eastAsia="it-IT"/>
        </w:rPr>
      </w:pPr>
      <w:r w:rsidRPr="00FB763E">
        <w:rPr>
          <w:rFonts w:eastAsia="Times New Roman" w:cs="Arial"/>
          <w:b/>
          <w:lang w:eastAsia="it-IT"/>
        </w:rPr>
        <w:t xml:space="preserve">4 non </w:t>
      </w:r>
      <w:r w:rsidR="00985AA6">
        <w:rPr>
          <w:rFonts w:eastAsia="Times New Roman" w:cs="Arial"/>
          <w:b/>
          <w:lang w:eastAsia="it-IT"/>
        </w:rPr>
        <w:t xml:space="preserve">hanno </w:t>
      </w:r>
      <w:r w:rsidRPr="00FB763E">
        <w:rPr>
          <w:rFonts w:eastAsia="Times New Roman" w:cs="Arial"/>
          <w:b/>
          <w:lang w:eastAsia="it-IT"/>
        </w:rPr>
        <w:t>compila</w:t>
      </w:r>
      <w:r w:rsidR="00985AA6">
        <w:rPr>
          <w:rFonts w:eastAsia="Times New Roman" w:cs="Arial"/>
          <w:b/>
          <w:lang w:eastAsia="it-IT"/>
        </w:rPr>
        <w:t>t</w:t>
      </w:r>
      <w:r w:rsidRPr="00FB763E">
        <w:rPr>
          <w:rFonts w:eastAsia="Times New Roman" w:cs="Arial"/>
          <w:b/>
          <w:lang w:eastAsia="it-IT"/>
        </w:rPr>
        <w:t>o la scheda 3</w:t>
      </w:r>
      <w:r w:rsidRPr="00FB763E">
        <w:rPr>
          <w:rFonts w:eastAsia="Times New Roman" w:cs="Arial"/>
          <w:lang w:eastAsia="it-IT"/>
        </w:rPr>
        <w:t xml:space="preserve"> - L’utilizzo del bonus – </w:t>
      </w:r>
      <w:r w:rsidRPr="00FB763E">
        <w:rPr>
          <w:rFonts w:eastAsia="Times New Roman" w:cs="Arial"/>
          <w:b/>
          <w:lang w:eastAsia="it-IT"/>
        </w:rPr>
        <w:t xml:space="preserve">ma </w:t>
      </w:r>
      <w:r w:rsidR="00985AA6">
        <w:rPr>
          <w:rFonts w:eastAsia="Times New Roman" w:cs="Arial"/>
          <w:b/>
          <w:lang w:eastAsia="it-IT"/>
        </w:rPr>
        <w:t xml:space="preserve">hanno </w:t>
      </w:r>
      <w:r w:rsidRPr="00FB763E">
        <w:rPr>
          <w:rFonts w:eastAsia="Times New Roman" w:cs="Arial"/>
          <w:b/>
          <w:lang w:eastAsia="it-IT"/>
        </w:rPr>
        <w:t>compila</w:t>
      </w:r>
      <w:r w:rsidR="00985AA6">
        <w:rPr>
          <w:rFonts w:eastAsia="Times New Roman" w:cs="Arial"/>
          <w:b/>
          <w:lang w:eastAsia="it-IT"/>
        </w:rPr>
        <w:t>t</w:t>
      </w:r>
      <w:r w:rsidRPr="00FB763E">
        <w:rPr>
          <w:rFonts w:eastAsia="Times New Roman" w:cs="Arial"/>
          <w:b/>
          <w:lang w:eastAsia="it-IT"/>
        </w:rPr>
        <w:t>o la scheda 2</w:t>
      </w:r>
      <w:r w:rsidRPr="00FB763E">
        <w:rPr>
          <w:rFonts w:eastAsia="Times New Roman" w:cs="Arial"/>
          <w:lang w:eastAsia="it-IT"/>
        </w:rPr>
        <w:t xml:space="preserve"> </w:t>
      </w:r>
      <w:r>
        <w:t xml:space="preserve">- </w:t>
      </w:r>
      <w:r w:rsidRPr="00FB763E">
        <w:rPr>
          <w:rFonts w:eastAsia="Times New Roman" w:cs="Arial"/>
          <w:lang w:eastAsia="it-IT"/>
        </w:rPr>
        <w:t>La definizione dei criteri per la valorizzazione del merito  -</w:t>
      </w:r>
    </w:p>
    <w:p w:rsidR="00FB763E" w:rsidRDefault="00FB763E" w:rsidP="00FB763E">
      <w:pPr>
        <w:pStyle w:val="Paragrafoelenco"/>
        <w:spacing w:before="100" w:beforeAutospacing="1" w:after="105" w:line="360" w:lineRule="auto"/>
        <w:jc w:val="both"/>
        <w:rPr>
          <w:rFonts w:eastAsia="Times New Roman" w:cs="Arial"/>
          <w:lang w:eastAsia="it-IT"/>
        </w:rPr>
      </w:pPr>
    </w:p>
    <w:p w:rsidR="00FE024F" w:rsidRPr="00BE7DF9" w:rsidRDefault="00901A33" w:rsidP="00E14922">
      <w:pPr>
        <w:spacing w:before="100" w:beforeAutospacing="1" w:after="105" w:line="360" w:lineRule="auto"/>
        <w:jc w:val="both"/>
        <w:rPr>
          <w:rFonts w:eastAsia="Times New Roman" w:cs="Arial"/>
          <w:lang w:eastAsia="it-IT"/>
        </w:rPr>
      </w:pPr>
      <w:r>
        <w:rPr>
          <w:rFonts w:eastAsia="Times New Roman" w:cs="Arial"/>
          <w:b/>
          <w:lang w:eastAsia="it-IT"/>
        </w:rPr>
        <w:t>I</w:t>
      </w:r>
      <w:r w:rsidR="00E77560">
        <w:rPr>
          <w:b/>
        </w:rPr>
        <w:t xml:space="preserve"> DATI DELLA </w:t>
      </w:r>
      <w:r w:rsidR="00DA0C1E" w:rsidRPr="00783AC7">
        <w:rPr>
          <w:b/>
        </w:rPr>
        <w:t xml:space="preserve"> SCHEDA</w:t>
      </w:r>
      <w:r w:rsidR="00E77560">
        <w:rPr>
          <w:b/>
        </w:rPr>
        <w:t xml:space="preserve"> 2 </w:t>
      </w:r>
    </w:p>
    <w:p w:rsidR="00DA0C1E" w:rsidRDefault="00DA0C1E" w:rsidP="00FE024F">
      <w:pPr>
        <w:jc w:val="both"/>
        <w:rPr>
          <w:b/>
        </w:rPr>
      </w:pPr>
      <w:r>
        <w:rPr>
          <w:b/>
        </w:rPr>
        <w:t>Le azioni del Comitato di Valutazione</w:t>
      </w:r>
    </w:p>
    <w:p w:rsidR="00541B00" w:rsidRDefault="00AA26FE" w:rsidP="00BE7DF9">
      <w:pPr>
        <w:spacing w:line="360" w:lineRule="auto"/>
        <w:jc w:val="both"/>
        <w:rPr>
          <w:rFonts w:cs="Arial"/>
          <w:b/>
          <w:bCs/>
          <w:shd w:val="clear" w:color="auto" w:fill="FFFFFF"/>
        </w:rPr>
      </w:pPr>
      <w:r w:rsidRPr="00313C35">
        <w:rPr>
          <w:rFonts w:cs="Arial"/>
          <w:bCs/>
          <w:shd w:val="clear" w:color="auto" w:fill="FFFFFF"/>
        </w:rPr>
        <w:t>Alla domanda “Il Comitato ha individuato i criteri per la valorizzazione dei docenti?”</w:t>
      </w:r>
      <w:r>
        <w:rPr>
          <w:rFonts w:cs="Arial"/>
          <w:bCs/>
          <w:shd w:val="clear" w:color="auto" w:fill="FFFFFF"/>
        </w:rPr>
        <w:t xml:space="preserve"> l</w:t>
      </w:r>
      <w:r w:rsidR="003F6464">
        <w:rPr>
          <w:rFonts w:cs="Arial"/>
          <w:bCs/>
          <w:shd w:val="clear" w:color="auto" w:fill="FFFFFF"/>
        </w:rPr>
        <w:t xml:space="preserve">’85,2% del campione dichiara che il </w:t>
      </w:r>
      <w:r w:rsidR="003F6464" w:rsidRPr="009F25DB">
        <w:rPr>
          <w:rFonts w:cs="Arial"/>
          <w:b/>
          <w:bCs/>
          <w:shd w:val="clear" w:color="auto" w:fill="FFFFFF"/>
        </w:rPr>
        <w:t>COMITATO DI VALUTAZIONE ha  individuato i criteri</w:t>
      </w:r>
      <w:r w:rsidR="003F6464">
        <w:rPr>
          <w:rFonts w:cs="Arial"/>
          <w:bCs/>
          <w:shd w:val="clear" w:color="auto" w:fill="FFFFFF"/>
        </w:rPr>
        <w:t>. Può essere utile indicare i pesi percentuali delle istituzioni scolastiche</w:t>
      </w:r>
      <w:r w:rsidR="00AC04E4">
        <w:rPr>
          <w:rFonts w:cs="Arial"/>
          <w:bCs/>
          <w:shd w:val="clear" w:color="auto" w:fill="FFFFFF"/>
        </w:rPr>
        <w:t>,</w:t>
      </w:r>
      <w:r w:rsidR="003F6464">
        <w:rPr>
          <w:rFonts w:cs="Arial"/>
          <w:bCs/>
          <w:shd w:val="clear" w:color="auto" w:fill="FFFFFF"/>
        </w:rPr>
        <w:t xml:space="preserve"> </w:t>
      </w:r>
      <w:r w:rsidR="00AC04E4">
        <w:rPr>
          <w:rFonts w:cs="Arial"/>
          <w:bCs/>
          <w:shd w:val="clear" w:color="auto" w:fill="FFFFFF"/>
        </w:rPr>
        <w:t>concentrate prevalentem</w:t>
      </w:r>
      <w:r w:rsidR="00343BFC">
        <w:rPr>
          <w:rFonts w:cs="Arial"/>
          <w:bCs/>
          <w:shd w:val="clear" w:color="auto" w:fill="FFFFFF"/>
        </w:rPr>
        <w:t xml:space="preserve">ente nelle aree di AL e BI </w:t>
      </w:r>
      <w:r w:rsidR="003F6464">
        <w:rPr>
          <w:rFonts w:cs="Arial"/>
          <w:bCs/>
          <w:shd w:val="clear" w:color="auto" w:fill="FFFFFF"/>
        </w:rPr>
        <w:t xml:space="preserve">che </w:t>
      </w:r>
      <w:r w:rsidR="00023B98">
        <w:rPr>
          <w:rFonts w:cs="Arial"/>
          <w:bCs/>
          <w:shd w:val="clear" w:color="auto" w:fill="FFFFFF"/>
        </w:rPr>
        <w:t>dichiarano</w:t>
      </w:r>
      <w:r w:rsidR="00DE42BC">
        <w:rPr>
          <w:rFonts w:cs="Arial"/>
          <w:bCs/>
          <w:shd w:val="clear" w:color="auto" w:fill="FFFFFF"/>
        </w:rPr>
        <w:t>, al momento del monitoraggio Indire,</w:t>
      </w:r>
      <w:r w:rsidR="00023B98">
        <w:rPr>
          <w:rFonts w:cs="Arial"/>
          <w:bCs/>
          <w:shd w:val="clear" w:color="auto" w:fill="FFFFFF"/>
        </w:rPr>
        <w:t xml:space="preserve"> di </w:t>
      </w:r>
      <w:r w:rsidR="00BE7DF9">
        <w:rPr>
          <w:rFonts w:cs="Arial"/>
          <w:b/>
          <w:bCs/>
          <w:shd w:val="clear" w:color="auto" w:fill="FFFFFF"/>
        </w:rPr>
        <w:t xml:space="preserve">non </w:t>
      </w:r>
      <w:r w:rsidR="00023B98">
        <w:rPr>
          <w:rFonts w:cs="Arial"/>
          <w:b/>
          <w:bCs/>
          <w:shd w:val="clear" w:color="auto" w:fill="FFFFFF"/>
        </w:rPr>
        <w:t>aver</w:t>
      </w:r>
      <w:r w:rsidR="00BE7DF9">
        <w:rPr>
          <w:rFonts w:cs="Arial"/>
          <w:b/>
          <w:bCs/>
          <w:shd w:val="clear" w:color="auto" w:fill="FFFFFF"/>
        </w:rPr>
        <w:t xml:space="preserve"> </w:t>
      </w:r>
      <w:r w:rsidR="00ED6654">
        <w:rPr>
          <w:rFonts w:cs="Arial"/>
          <w:b/>
          <w:bCs/>
          <w:shd w:val="clear" w:color="auto" w:fill="FFFFFF"/>
        </w:rPr>
        <w:t xml:space="preserve">ancora </w:t>
      </w:r>
      <w:r w:rsidR="00BE7DF9">
        <w:rPr>
          <w:rFonts w:cs="Arial"/>
          <w:b/>
          <w:bCs/>
          <w:shd w:val="clear" w:color="auto" w:fill="FFFFFF"/>
        </w:rPr>
        <w:t>individuato i criteri</w:t>
      </w:r>
      <w:r w:rsidR="00DE42BC">
        <w:rPr>
          <w:rFonts w:cs="Arial"/>
          <w:b/>
          <w:bCs/>
          <w:shd w:val="clear" w:color="auto" w:fill="FFFFFF"/>
        </w:rPr>
        <w:t>.</w:t>
      </w:r>
      <w:r w:rsidR="00023B98">
        <w:rPr>
          <w:rFonts w:cs="Arial"/>
          <w:b/>
          <w:bCs/>
          <w:shd w:val="clear" w:color="auto" w:fill="FFFFFF"/>
        </w:rPr>
        <w:t xml:space="preserve"> </w:t>
      </w:r>
    </w:p>
    <w:p w:rsidR="00541B00" w:rsidRDefault="00541B00" w:rsidP="00BE7DF9">
      <w:pPr>
        <w:spacing w:line="360" w:lineRule="auto"/>
        <w:jc w:val="both"/>
        <w:rPr>
          <w:rFonts w:cs="Arial"/>
          <w:b/>
          <w:bCs/>
          <w:shd w:val="clear" w:color="auto" w:fill="FFFFFF"/>
        </w:rPr>
      </w:pPr>
    </w:p>
    <w:p w:rsidR="003F6464" w:rsidRDefault="004E23CC" w:rsidP="009F25DB">
      <w:pPr>
        <w:spacing w:after="0"/>
        <w:jc w:val="center"/>
        <w:rPr>
          <w:rFonts w:cs="Arial"/>
          <w:bCs/>
          <w:sz w:val="16"/>
          <w:szCs w:val="16"/>
          <w:shd w:val="clear" w:color="auto" w:fill="FFFFFF"/>
        </w:rPr>
      </w:pPr>
      <w:r>
        <w:rPr>
          <w:rFonts w:cs="Arial"/>
          <w:bCs/>
          <w:sz w:val="16"/>
          <w:szCs w:val="16"/>
          <w:shd w:val="clear" w:color="auto" w:fill="FFFFFF"/>
        </w:rPr>
        <w:t>TAB. 1 comitati che non hanno individuato</w:t>
      </w:r>
      <w:r w:rsidR="00D64327">
        <w:rPr>
          <w:rFonts w:cs="Arial"/>
          <w:bCs/>
          <w:sz w:val="16"/>
          <w:szCs w:val="16"/>
          <w:shd w:val="clear" w:color="auto" w:fill="FFFFFF"/>
        </w:rPr>
        <w:t xml:space="preserve"> i</w:t>
      </w:r>
      <w:r w:rsidR="003F6464" w:rsidRPr="003F6464">
        <w:rPr>
          <w:rFonts w:cs="Arial"/>
          <w:bCs/>
          <w:sz w:val="16"/>
          <w:szCs w:val="16"/>
          <w:shd w:val="clear" w:color="auto" w:fill="FFFFFF"/>
        </w:rPr>
        <w:t xml:space="preserve">  criteri per la valorizzazione dei docenti – valori  percentuali</w:t>
      </w:r>
    </w:p>
    <w:p w:rsidR="00DA0C1E" w:rsidRDefault="003F6464" w:rsidP="00DA0C1E">
      <w:pPr>
        <w:spacing w:after="0"/>
        <w:jc w:val="center"/>
        <w:rPr>
          <w:rFonts w:cs="Arial"/>
          <w:bCs/>
          <w:sz w:val="16"/>
          <w:szCs w:val="16"/>
          <w:shd w:val="clear" w:color="auto" w:fill="FFFFFF"/>
        </w:rPr>
      </w:pPr>
      <w:r>
        <w:rPr>
          <w:noProof/>
          <w:lang w:eastAsia="it-IT"/>
        </w:rPr>
        <w:lastRenderedPageBreak/>
        <w:drawing>
          <wp:inline distT="0" distB="0" distL="0" distR="0">
            <wp:extent cx="4572000" cy="2501660"/>
            <wp:effectExtent l="0" t="0" r="19050" b="1333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7DF9" w:rsidRDefault="00BE7DF9" w:rsidP="00DA0C1E">
      <w:pPr>
        <w:spacing w:after="0"/>
        <w:jc w:val="both"/>
        <w:rPr>
          <w:rFonts w:cs="Arial"/>
          <w:bCs/>
          <w:shd w:val="clear" w:color="auto" w:fill="FFFFFF"/>
        </w:rPr>
      </w:pPr>
    </w:p>
    <w:p w:rsidR="00FC2205" w:rsidRDefault="00DA0C1E" w:rsidP="00BE7DF9">
      <w:pPr>
        <w:spacing w:after="0" w:line="360" w:lineRule="auto"/>
        <w:jc w:val="both"/>
        <w:rPr>
          <w:rFonts w:cs="Arial"/>
          <w:bCs/>
          <w:shd w:val="clear" w:color="auto" w:fill="FFFFFF"/>
        </w:rPr>
      </w:pPr>
      <w:r w:rsidRPr="00DA0C1E">
        <w:rPr>
          <w:rFonts w:cs="Arial"/>
          <w:bCs/>
          <w:shd w:val="clear" w:color="auto" w:fill="FFFFFF"/>
        </w:rPr>
        <w:t xml:space="preserve">La tavola evidenzia che il </w:t>
      </w:r>
      <w:r w:rsidR="009F25DB" w:rsidRPr="00DA0C1E">
        <w:rPr>
          <w:rFonts w:cs="Arial"/>
          <w:bCs/>
          <w:shd w:val="clear" w:color="auto" w:fill="FFFFFF"/>
        </w:rPr>
        <w:t>fenomeno</w:t>
      </w:r>
      <w:r w:rsidR="009F25DB" w:rsidRPr="009F25DB">
        <w:rPr>
          <w:rFonts w:cs="Arial"/>
          <w:bCs/>
          <w:shd w:val="clear" w:color="auto" w:fill="FFFFFF"/>
        </w:rPr>
        <w:t xml:space="preserve"> si presenta prevalentemente nelle scuole del I ciclo. Circa le motivazioni </w:t>
      </w:r>
      <w:r>
        <w:rPr>
          <w:rFonts w:cs="Arial"/>
          <w:bCs/>
          <w:shd w:val="clear" w:color="auto" w:fill="FFFFFF"/>
        </w:rPr>
        <w:t>della mancata individuazione dei criteri, le scuole dichiarano difficoltà dovute</w:t>
      </w:r>
      <w:r w:rsidR="009F25DB" w:rsidRPr="009F25DB">
        <w:rPr>
          <w:rFonts w:cs="Arial"/>
          <w:bCs/>
          <w:shd w:val="clear" w:color="auto" w:fill="FFFFFF"/>
        </w:rPr>
        <w:t xml:space="preserve"> ai tempi di </w:t>
      </w:r>
      <w:r w:rsidR="009F25DB">
        <w:rPr>
          <w:rFonts w:cs="Arial"/>
          <w:bCs/>
          <w:shd w:val="clear" w:color="auto" w:fill="FFFFFF"/>
        </w:rPr>
        <w:t xml:space="preserve">organizzazione, elaborazione e </w:t>
      </w:r>
      <w:r w:rsidR="009F25DB" w:rsidRPr="009F25DB">
        <w:rPr>
          <w:rFonts w:cs="Arial"/>
          <w:bCs/>
          <w:shd w:val="clear" w:color="auto" w:fill="FFFFFF"/>
        </w:rPr>
        <w:t>condivisione</w:t>
      </w:r>
      <w:r w:rsidR="009F25DB">
        <w:rPr>
          <w:rFonts w:cs="Arial"/>
          <w:bCs/>
          <w:shd w:val="clear" w:color="auto" w:fill="FFFFFF"/>
        </w:rPr>
        <w:t xml:space="preserve"> formale</w:t>
      </w:r>
      <w:r w:rsidR="009F25DB" w:rsidRPr="009F25DB">
        <w:rPr>
          <w:rFonts w:cs="Arial"/>
          <w:bCs/>
          <w:shd w:val="clear" w:color="auto" w:fill="FFFFFF"/>
        </w:rPr>
        <w:t xml:space="preserve"> interna </w:t>
      </w:r>
      <w:r w:rsidR="004E23CC">
        <w:rPr>
          <w:rFonts w:cs="Arial"/>
          <w:bCs/>
          <w:shd w:val="clear" w:color="auto" w:fill="FFFFFF"/>
        </w:rPr>
        <w:t>ai C</w:t>
      </w:r>
      <w:r>
        <w:rPr>
          <w:rFonts w:cs="Arial"/>
          <w:bCs/>
          <w:shd w:val="clear" w:color="auto" w:fill="FFFFFF"/>
        </w:rPr>
        <w:t>omitati e ai Collegi. Alcune</w:t>
      </w:r>
      <w:r w:rsidR="009F25DB">
        <w:rPr>
          <w:rFonts w:cs="Arial"/>
          <w:bCs/>
          <w:shd w:val="clear" w:color="auto" w:fill="FFFFFF"/>
        </w:rPr>
        <w:t xml:space="preserve"> segnalano la non conoscenza dell’entità del finanzia</w:t>
      </w:r>
      <w:r>
        <w:rPr>
          <w:rFonts w:cs="Arial"/>
          <w:bCs/>
          <w:shd w:val="clear" w:color="auto" w:fill="FFFFFF"/>
        </w:rPr>
        <w:t>mento come ulteriore causa</w:t>
      </w:r>
      <w:r w:rsidR="009F25DB">
        <w:rPr>
          <w:rFonts w:cs="Arial"/>
          <w:bCs/>
          <w:shd w:val="clear" w:color="auto" w:fill="FFFFFF"/>
        </w:rPr>
        <w:t xml:space="preserve">. </w:t>
      </w:r>
      <w:r>
        <w:rPr>
          <w:rFonts w:cs="Arial"/>
          <w:bCs/>
          <w:shd w:val="clear" w:color="auto" w:fill="FFFFFF"/>
        </w:rPr>
        <w:t xml:space="preserve">L’evento considerato non riguarda </w:t>
      </w:r>
      <w:r w:rsidR="009F25DB">
        <w:rPr>
          <w:rFonts w:cs="Arial"/>
          <w:bCs/>
          <w:shd w:val="clear" w:color="auto" w:fill="FFFFFF"/>
        </w:rPr>
        <w:t>le istituzioni scolastiche delle aree territoriali di NO, VCO e VC.</w:t>
      </w:r>
      <w:r w:rsidR="00641315">
        <w:rPr>
          <w:rStyle w:val="Rimandonotaapidipagina"/>
          <w:rFonts w:cs="Arial"/>
          <w:bCs/>
          <w:shd w:val="clear" w:color="auto" w:fill="FFFFFF"/>
        </w:rPr>
        <w:footnoteReference w:id="4"/>
      </w:r>
    </w:p>
    <w:p w:rsidR="00FB763E" w:rsidRDefault="00FB763E" w:rsidP="00BE7DF9">
      <w:pPr>
        <w:spacing w:after="0" w:line="360" w:lineRule="auto"/>
        <w:jc w:val="both"/>
        <w:rPr>
          <w:rFonts w:cs="Arial"/>
          <w:bCs/>
          <w:shd w:val="clear" w:color="auto" w:fill="FFFFFF"/>
        </w:rPr>
      </w:pPr>
      <w:r>
        <w:rPr>
          <w:rFonts w:cs="Arial"/>
          <w:bCs/>
          <w:shd w:val="clear" w:color="auto" w:fill="FFFFFF"/>
        </w:rPr>
        <w:t>Va considerato co</w:t>
      </w:r>
      <w:r w:rsidR="00F63D09">
        <w:rPr>
          <w:rFonts w:cs="Arial"/>
          <w:bCs/>
          <w:shd w:val="clear" w:color="auto" w:fill="FFFFFF"/>
        </w:rPr>
        <w:t>munque che la compilazione delle schede</w:t>
      </w:r>
      <w:r>
        <w:rPr>
          <w:rFonts w:cs="Arial"/>
          <w:bCs/>
          <w:shd w:val="clear" w:color="auto" w:fill="FFFFFF"/>
        </w:rPr>
        <w:t xml:space="preserve"> n. 1</w:t>
      </w:r>
      <w:r w:rsidR="00F63D09">
        <w:rPr>
          <w:rFonts w:cs="Arial"/>
          <w:bCs/>
          <w:shd w:val="clear" w:color="auto" w:fill="FFFFFF"/>
        </w:rPr>
        <w:t xml:space="preserve"> e </w:t>
      </w:r>
      <w:r w:rsidR="00F63D09" w:rsidRPr="00DE42BC">
        <w:rPr>
          <w:rFonts w:cs="Arial"/>
          <w:bCs/>
          <w:shd w:val="clear" w:color="auto" w:fill="FFFFFF"/>
        </w:rPr>
        <w:t>2</w:t>
      </w:r>
      <w:r>
        <w:rPr>
          <w:rFonts w:cs="Arial"/>
          <w:bCs/>
          <w:shd w:val="clear" w:color="auto" w:fill="FFFFFF"/>
        </w:rPr>
        <w:t xml:space="preserve"> era richiesta entro il </w:t>
      </w:r>
      <w:r w:rsidR="00AE7F16">
        <w:rPr>
          <w:rFonts w:cs="Arial"/>
          <w:bCs/>
          <w:shd w:val="clear" w:color="auto" w:fill="FFFFFF"/>
        </w:rPr>
        <w:t xml:space="preserve">6 maggio 2016 (vedasi  nota </w:t>
      </w:r>
      <w:r w:rsidR="00541B00">
        <w:t>MIUR</w:t>
      </w:r>
      <w:r w:rsidR="00AE7F16">
        <w:t xml:space="preserve"> </w:t>
      </w:r>
      <w:proofErr w:type="spellStart"/>
      <w:r w:rsidR="00AE7F16">
        <w:t>prot</w:t>
      </w:r>
      <w:proofErr w:type="spellEnd"/>
      <w:r w:rsidR="00AE7F16">
        <w:t>. 4370 del 20/4/</w:t>
      </w:r>
      <w:r w:rsidR="00DE42BC">
        <w:t>2</w:t>
      </w:r>
      <w:r w:rsidR="00AE7F16">
        <w:t>016)</w:t>
      </w:r>
      <w:r>
        <w:rPr>
          <w:rFonts w:cs="Arial"/>
          <w:bCs/>
          <w:shd w:val="clear" w:color="auto" w:fill="FFFFFF"/>
        </w:rPr>
        <w:t xml:space="preserve"> e pertanto le scuole che risultano non aver proceduto alla definizione dei criteri di attribuzione del bonus, di fatto sono pervenute alla delibera in merito in una data successiva.</w:t>
      </w:r>
    </w:p>
    <w:p w:rsidR="00DA0C1E" w:rsidRPr="00DA0C1E" w:rsidRDefault="00DA0C1E" w:rsidP="00BE7DF9">
      <w:pPr>
        <w:spacing w:after="0" w:line="360" w:lineRule="auto"/>
        <w:jc w:val="both"/>
        <w:rPr>
          <w:rFonts w:cs="Arial"/>
          <w:bCs/>
          <w:sz w:val="16"/>
          <w:szCs w:val="16"/>
          <w:shd w:val="clear" w:color="auto" w:fill="FFFFFF"/>
        </w:rPr>
      </w:pPr>
    </w:p>
    <w:p w:rsidR="00BE7DF9" w:rsidRPr="00256786" w:rsidRDefault="00DA0C1E" w:rsidP="00256786">
      <w:pPr>
        <w:spacing w:line="360" w:lineRule="auto"/>
        <w:jc w:val="both"/>
        <w:rPr>
          <w:rFonts w:cs="Arial"/>
          <w:bCs/>
          <w:shd w:val="clear" w:color="auto" w:fill="FFFFFF"/>
        </w:rPr>
      </w:pPr>
      <w:r>
        <w:rPr>
          <w:rFonts w:cs="Arial"/>
          <w:bCs/>
          <w:shd w:val="clear" w:color="auto" w:fill="FFFFFF"/>
        </w:rPr>
        <w:t>Alla domanda se il Comitato di Valutazione ha</w:t>
      </w:r>
      <w:r w:rsidR="00FC2205" w:rsidRPr="00FC2205">
        <w:rPr>
          <w:rFonts w:cs="Arial"/>
          <w:bCs/>
          <w:shd w:val="clear" w:color="auto" w:fill="FFFFFF"/>
        </w:rPr>
        <w:t xml:space="preserve"> </w:t>
      </w:r>
      <w:r w:rsidR="00FC2205" w:rsidRPr="00FC2205">
        <w:rPr>
          <w:rFonts w:cs="Arial"/>
          <w:b/>
          <w:bCs/>
          <w:shd w:val="clear" w:color="auto" w:fill="FFFFFF"/>
        </w:rPr>
        <w:t xml:space="preserve">declinato i criteri </w:t>
      </w:r>
      <w:r w:rsidR="00FC2205">
        <w:rPr>
          <w:rFonts w:cs="Arial"/>
          <w:b/>
          <w:bCs/>
          <w:shd w:val="clear" w:color="auto" w:fill="FFFFFF"/>
        </w:rPr>
        <w:t>secondo quanto indicato</w:t>
      </w:r>
      <w:r w:rsidR="00FC2205" w:rsidRPr="00FC2205">
        <w:rPr>
          <w:rFonts w:cs="Arial"/>
          <w:b/>
          <w:bCs/>
          <w:shd w:val="clear" w:color="auto" w:fill="FFFFFF"/>
        </w:rPr>
        <w:t xml:space="preserve"> nel comma 129</w:t>
      </w:r>
      <w:r w:rsidR="00FC2205" w:rsidRPr="00FC2205">
        <w:rPr>
          <w:rFonts w:cs="Arial"/>
          <w:bCs/>
          <w:shd w:val="clear" w:color="auto" w:fill="FFFFFF"/>
        </w:rPr>
        <w:t xml:space="preserve"> (punto 3 letter</w:t>
      </w:r>
      <w:r w:rsidR="004E23CC">
        <w:rPr>
          <w:rFonts w:cs="Arial"/>
          <w:bCs/>
          <w:shd w:val="clear" w:color="auto" w:fill="FFFFFF"/>
        </w:rPr>
        <w:t>e A, B, C</w:t>
      </w:r>
      <w:r>
        <w:rPr>
          <w:rFonts w:cs="Arial"/>
          <w:bCs/>
          <w:shd w:val="clear" w:color="auto" w:fill="FFFFFF"/>
        </w:rPr>
        <w:t xml:space="preserve">) della legge 107/2015, </w:t>
      </w:r>
      <w:r w:rsidR="00343BFC">
        <w:rPr>
          <w:rFonts w:cs="Arial"/>
          <w:bCs/>
          <w:shd w:val="clear" w:color="auto" w:fill="FFFFFF"/>
        </w:rPr>
        <w:t>risponde affermativamente l’98</w:t>
      </w:r>
      <w:r>
        <w:rPr>
          <w:rFonts w:cs="Arial"/>
          <w:bCs/>
          <w:shd w:val="clear" w:color="auto" w:fill="FFFFFF"/>
        </w:rPr>
        <w:t>%</w:t>
      </w:r>
    </w:p>
    <w:p w:rsidR="00FC2205" w:rsidRDefault="004E23CC" w:rsidP="00FC2205">
      <w:pPr>
        <w:spacing w:after="0"/>
        <w:jc w:val="center"/>
        <w:rPr>
          <w:rFonts w:cs="Arial"/>
          <w:bCs/>
          <w:sz w:val="16"/>
          <w:szCs w:val="16"/>
          <w:shd w:val="clear" w:color="auto" w:fill="FFFFFF"/>
        </w:rPr>
      </w:pPr>
      <w:r>
        <w:rPr>
          <w:rFonts w:cs="Arial"/>
          <w:bCs/>
          <w:sz w:val="16"/>
          <w:szCs w:val="16"/>
          <w:shd w:val="clear" w:color="auto" w:fill="FFFFFF"/>
        </w:rPr>
        <w:t xml:space="preserve">TAB. 2 criteri </w:t>
      </w:r>
      <w:r w:rsidR="00FC2205" w:rsidRPr="00FC2205">
        <w:rPr>
          <w:rFonts w:cs="Arial"/>
          <w:bCs/>
          <w:sz w:val="16"/>
          <w:szCs w:val="16"/>
          <w:shd w:val="clear" w:color="auto" w:fill="FFFFFF"/>
        </w:rPr>
        <w:t>comma 129 – valori in percentuale</w:t>
      </w:r>
    </w:p>
    <w:p w:rsidR="00BE7DF9" w:rsidRDefault="00343BFC" w:rsidP="00901A33">
      <w:pPr>
        <w:jc w:val="center"/>
        <w:rPr>
          <w:rFonts w:cs="Arial"/>
          <w:bCs/>
          <w:sz w:val="16"/>
          <w:szCs w:val="16"/>
          <w:shd w:val="clear" w:color="auto" w:fill="FFFFFF"/>
        </w:rPr>
      </w:pPr>
      <w:r>
        <w:rPr>
          <w:noProof/>
          <w:lang w:eastAsia="it-IT"/>
        </w:rPr>
        <w:drawing>
          <wp:inline distT="0" distB="0" distL="0" distR="0">
            <wp:extent cx="4166558" cy="2027208"/>
            <wp:effectExtent l="0" t="0" r="24765" b="11430"/>
            <wp:docPr id="15" name="Gra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1A33" w:rsidRPr="00901A33" w:rsidRDefault="00901A33" w:rsidP="00901A33">
      <w:pPr>
        <w:jc w:val="center"/>
        <w:rPr>
          <w:rFonts w:cs="Arial"/>
          <w:bCs/>
          <w:sz w:val="16"/>
          <w:szCs w:val="16"/>
          <w:shd w:val="clear" w:color="auto" w:fill="FFFFFF"/>
        </w:rPr>
      </w:pPr>
    </w:p>
    <w:p w:rsidR="00FE024F" w:rsidRDefault="00DA0C1E" w:rsidP="00BE7DF9">
      <w:pPr>
        <w:spacing w:line="360" w:lineRule="auto"/>
        <w:jc w:val="both"/>
      </w:pPr>
      <w:r>
        <w:t xml:space="preserve">Per quanto riguarda la scelta dei </w:t>
      </w:r>
      <w:r w:rsidR="00343BFC">
        <w:rPr>
          <w:b/>
        </w:rPr>
        <w:t>criteri – A,B,</w:t>
      </w:r>
      <w:r w:rsidR="00E12CAC" w:rsidRPr="005A2732">
        <w:rPr>
          <w:b/>
        </w:rPr>
        <w:t xml:space="preserve">C </w:t>
      </w:r>
      <w:r w:rsidR="005A2732">
        <w:rPr>
          <w:rStyle w:val="Rimandonotaapidipagina"/>
          <w:b/>
        </w:rPr>
        <w:footnoteReference w:id="5"/>
      </w:r>
      <w:r w:rsidR="005A2732">
        <w:t xml:space="preserve"> </w:t>
      </w:r>
      <w:r w:rsidR="00E12CAC" w:rsidRPr="005A2732">
        <w:rPr>
          <w:b/>
        </w:rPr>
        <w:t>–</w:t>
      </w:r>
      <w:r w:rsidR="00E12CAC">
        <w:t xml:space="preserve"> contenuti nel comma 129/107</w:t>
      </w:r>
      <w:r w:rsidR="004E23CC">
        <w:t xml:space="preserve">, </w:t>
      </w:r>
      <w:r>
        <w:t>i dati indicano la prevalenza del criterio C.</w:t>
      </w:r>
    </w:p>
    <w:p w:rsidR="00B00DC3" w:rsidRDefault="00E12CAC" w:rsidP="00E12CAC">
      <w:pPr>
        <w:spacing w:after="0"/>
        <w:jc w:val="center"/>
        <w:rPr>
          <w:sz w:val="16"/>
          <w:szCs w:val="16"/>
        </w:rPr>
      </w:pPr>
      <w:r w:rsidRPr="00E12CAC">
        <w:rPr>
          <w:sz w:val="16"/>
          <w:szCs w:val="16"/>
        </w:rPr>
        <w:t>TAB. 3 riferimenti alle lettere A, B, C comma 129 – valori in percentuale</w:t>
      </w:r>
    </w:p>
    <w:p w:rsidR="00E12CAC" w:rsidRDefault="00E345EE" w:rsidP="00E12CAC">
      <w:pPr>
        <w:jc w:val="center"/>
        <w:rPr>
          <w:sz w:val="16"/>
          <w:szCs w:val="16"/>
        </w:rPr>
      </w:pPr>
      <w:r>
        <w:rPr>
          <w:noProof/>
          <w:lang w:eastAsia="it-IT"/>
        </w:rPr>
        <w:drawing>
          <wp:inline distT="0" distB="0" distL="0" distR="0">
            <wp:extent cx="6120130" cy="2369003"/>
            <wp:effectExtent l="0" t="0" r="13970" b="12700"/>
            <wp:docPr id="16" name="Gra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2CAC" w:rsidRDefault="00E12CAC" w:rsidP="00DA0C1E">
      <w:pPr>
        <w:jc w:val="both"/>
        <w:rPr>
          <w:sz w:val="16"/>
          <w:szCs w:val="16"/>
        </w:rPr>
      </w:pPr>
    </w:p>
    <w:p w:rsidR="00BE7DF9" w:rsidRDefault="00BE7DF9" w:rsidP="00DA0C1E">
      <w:pPr>
        <w:jc w:val="both"/>
      </w:pPr>
    </w:p>
    <w:p w:rsidR="00440F1C" w:rsidRPr="00BE7DF9" w:rsidRDefault="00DA0C1E" w:rsidP="005A2732">
      <w:pPr>
        <w:jc w:val="both"/>
      </w:pPr>
      <w:r w:rsidRPr="00DA0C1E">
        <w:t xml:space="preserve">Dal punto di vista del </w:t>
      </w:r>
      <w:r w:rsidRPr="00DA0C1E">
        <w:rPr>
          <w:b/>
        </w:rPr>
        <w:t>peso attribuito ai tre criteri</w:t>
      </w:r>
      <w:r w:rsidR="00CE1810">
        <w:t xml:space="preserve"> il 67,3</w:t>
      </w:r>
      <w:r w:rsidRPr="00DA0C1E">
        <w:t>%</w:t>
      </w:r>
      <w:r>
        <w:t xml:space="preserve"> </w:t>
      </w:r>
      <w:r w:rsidRPr="00DA0C1E">
        <w:t xml:space="preserve">dichiara di aver dato un </w:t>
      </w:r>
      <w:r w:rsidR="000A05D0">
        <w:t xml:space="preserve">valore </w:t>
      </w:r>
      <w:r w:rsidRPr="00DA0C1E">
        <w:rPr>
          <w:b/>
        </w:rPr>
        <w:t>non uniforme</w:t>
      </w:r>
      <w:r w:rsidR="00ED6654">
        <w:rPr>
          <w:b/>
        </w:rPr>
        <w:t xml:space="preserve">, </w:t>
      </w:r>
      <w:r w:rsidR="00ED6654" w:rsidRPr="00ED6654">
        <w:t>confermandola tendenza</w:t>
      </w:r>
      <w:r w:rsidR="00ED6654">
        <w:rPr>
          <w:b/>
        </w:rPr>
        <w:t xml:space="preserve"> </w:t>
      </w:r>
      <w:r w:rsidR="00ED6654" w:rsidRPr="00ED6654">
        <w:t>già individuata a luglio dal monitoraggio Indire</w:t>
      </w:r>
      <w:r w:rsidR="00ED6654">
        <w:rPr>
          <w:b/>
        </w:rPr>
        <w:t xml:space="preserve"> </w:t>
      </w:r>
    </w:p>
    <w:p w:rsidR="00641315" w:rsidRDefault="00641315" w:rsidP="001D6D6C">
      <w:pPr>
        <w:spacing w:after="0"/>
        <w:jc w:val="center"/>
        <w:rPr>
          <w:rFonts w:cs="Arial"/>
          <w:bCs/>
          <w:sz w:val="16"/>
          <w:szCs w:val="16"/>
          <w:shd w:val="clear" w:color="auto" w:fill="FFFFFF"/>
        </w:rPr>
      </w:pPr>
      <w:r w:rsidRPr="00641315">
        <w:rPr>
          <w:rFonts w:cs="Arial"/>
          <w:bCs/>
          <w:sz w:val="16"/>
          <w:szCs w:val="16"/>
          <w:shd w:val="clear" w:color="auto" w:fill="FFFFFF"/>
        </w:rPr>
        <w:t>TAV. 4 pesatura non uniforme dei tre criteri – valori in percentuale</w:t>
      </w:r>
    </w:p>
    <w:p w:rsidR="00641315" w:rsidRPr="00641315" w:rsidRDefault="00641315" w:rsidP="00641315">
      <w:pPr>
        <w:jc w:val="center"/>
        <w:rPr>
          <w:rFonts w:cs="Arial"/>
          <w:bCs/>
          <w:sz w:val="16"/>
          <w:szCs w:val="16"/>
          <w:shd w:val="clear" w:color="auto" w:fill="FFFFFF"/>
        </w:rPr>
      </w:pPr>
      <w:r>
        <w:rPr>
          <w:noProof/>
          <w:lang w:eastAsia="it-IT"/>
        </w:rPr>
        <w:drawing>
          <wp:inline distT="0" distB="0" distL="0" distR="0">
            <wp:extent cx="4572000" cy="2536166"/>
            <wp:effectExtent l="0" t="0" r="19050" b="17145"/>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6C4C" w:rsidRDefault="002D6C4C" w:rsidP="005A2732">
      <w:pPr>
        <w:jc w:val="both"/>
      </w:pPr>
    </w:p>
    <w:p w:rsidR="0057308E" w:rsidRDefault="001D6D6C" w:rsidP="005A2732">
      <w:pPr>
        <w:jc w:val="both"/>
      </w:pPr>
      <w:r w:rsidRPr="001D6D6C">
        <w:lastRenderedPageBreak/>
        <w:t>Si noti il punteggio delle scuole di II grado significativamente superio</w:t>
      </w:r>
      <w:r>
        <w:t>r</w:t>
      </w:r>
      <w:r w:rsidR="00BE7DF9">
        <w:t xml:space="preserve">e al dato globale (+ 4 punti). </w:t>
      </w:r>
    </w:p>
    <w:p w:rsidR="00DA0C1E" w:rsidRDefault="00DA0C1E" w:rsidP="00BE7DF9">
      <w:pPr>
        <w:spacing w:line="360" w:lineRule="auto"/>
        <w:jc w:val="both"/>
      </w:pPr>
      <w:r w:rsidRPr="00CE1810">
        <w:rPr>
          <w:b/>
        </w:rPr>
        <w:t>Tutti</w:t>
      </w:r>
      <w:r>
        <w:t xml:space="preserve"> i Comitati di Valutazione campionati hanno </w:t>
      </w:r>
      <w:r w:rsidRPr="002D6C4C">
        <w:rPr>
          <w:b/>
        </w:rPr>
        <w:t>elaborato un docum</w:t>
      </w:r>
      <w:r w:rsidR="006421E3" w:rsidRPr="002D6C4C">
        <w:rPr>
          <w:b/>
        </w:rPr>
        <w:t>ento con il quale definiscono le scelte adottate</w:t>
      </w:r>
      <w:r w:rsidR="00CE1810">
        <w:t>, deliberate nel 91,3</w:t>
      </w:r>
      <w:r w:rsidR="006421E3">
        <w:t>% dei casi all’unanimità.</w:t>
      </w:r>
    </w:p>
    <w:p w:rsidR="002D6C4C" w:rsidRDefault="002D6C4C" w:rsidP="00BE7DF9">
      <w:pPr>
        <w:spacing w:line="360" w:lineRule="auto"/>
        <w:jc w:val="both"/>
      </w:pPr>
      <w:r>
        <w:t>Sul totale del campione 99 istituzioni scolastiche hanno allegato relativa docume</w:t>
      </w:r>
      <w:r w:rsidR="00AA26FE">
        <w:t xml:space="preserve">ntazione. Il grafico illustra </w:t>
      </w:r>
      <w:r w:rsidR="00AA26FE" w:rsidRPr="00313C35">
        <w:t>la situazione</w:t>
      </w:r>
      <w:r w:rsidRPr="00313C35">
        <w:t xml:space="preserve"> per ordine</w:t>
      </w:r>
      <w:r w:rsidR="00AA26FE" w:rsidRPr="00313C35">
        <w:t xml:space="preserve"> scolastico</w:t>
      </w:r>
      <w:r w:rsidRPr="00313C35">
        <w:t>:</w:t>
      </w:r>
    </w:p>
    <w:p w:rsidR="002D6C4C" w:rsidRPr="002D6C4C" w:rsidRDefault="002D6C4C" w:rsidP="002D6C4C">
      <w:pPr>
        <w:spacing w:after="0" w:line="360" w:lineRule="auto"/>
        <w:jc w:val="center"/>
        <w:rPr>
          <w:sz w:val="16"/>
          <w:szCs w:val="16"/>
        </w:rPr>
      </w:pPr>
      <w:r w:rsidRPr="002D6C4C">
        <w:rPr>
          <w:sz w:val="16"/>
          <w:szCs w:val="16"/>
        </w:rPr>
        <w:t>TAV. 5 documentazione allegata – valori in percentuale</w:t>
      </w:r>
    </w:p>
    <w:p w:rsidR="0057308E" w:rsidRDefault="002D6C4C" w:rsidP="002D6C4C">
      <w:pPr>
        <w:spacing w:line="360" w:lineRule="auto"/>
        <w:jc w:val="center"/>
        <w:rPr>
          <w:rFonts w:cs="Arial"/>
          <w:b/>
          <w:bCs/>
          <w:shd w:val="clear" w:color="auto" w:fill="FFFFFF"/>
        </w:rPr>
      </w:pPr>
      <w:r>
        <w:rPr>
          <w:noProof/>
          <w:lang w:eastAsia="it-IT"/>
        </w:rPr>
        <w:drawing>
          <wp:inline distT="0" distB="0" distL="0" distR="0">
            <wp:extent cx="4572000" cy="2743200"/>
            <wp:effectExtent l="0" t="0" r="19050" b="19050"/>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D6C4C" w:rsidRDefault="002D6C4C" w:rsidP="00BE7DF9">
      <w:pPr>
        <w:spacing w:line="360" w:lineRule="auto"/>
        <w:jc w:val="both"/>
        <w:rPr>
          <w:rFonts w:cs="Arial"/>
          <w:b/>
          <w:bCs/>
          <w:shd w:val="clear" w:color="auto" w:fill="FFFFFF"/>
        </w:rPr>
      </w:pPr>
    </w:p>
    <w:p w:rsidR="0057308E" w:rsidRDefault="0057308E" w:rsidP="00BE7DF9">
      <w:pPr>
        <w:spacing w:line="360" w:lineRule="auto"/>
        <w:jc w:val="both"/>
        <w:rPr>
          <w:rFonts w:cs="Arial"/>
          <w:b/>
          <w:bCs/>
          <w:shd w:val="clear" w:color="auto" w:fill="FFFFFF"/>
        </w:rPr>
      </w:pPr>
      <w:r w:rsidRPr="0057308E">
        <w:rPr>
          <w:rFonts w:cs="Arial"/>
          <w:b/>
          <w:bCs/>
          <w:shd w:val="clear" w:color="auto" w:fill="FFFFFF"/>
        </w:rPr>
        <w:t xml:space="preserve">Il 100% del campione ha reso pubblici i </w:t>
      </w:r>
      <w:r w:rsidR="006421E3">
        <w:rPr>
          <w:rFonts w:cs="Arial"/>
          <w:b/>
          <w:bCs/>
          <w:shd w:val="clear" w:color="auto" w:fill="FFFFFF"/>
        </w:rPr>
        <w:t>criteri individuati</w:t>
      </w:r>
      <w:r>
        <w:rPr>
          <w:rFonts w:cs="Arial"/>
          <w:b/>
          <w:bCs/>
          <w:shd w:val="clear" w:color="auto" w:fill="FFFFFF"/>
        </w:rPr>
        <w:t xml:space="preserve">. </w:t>
      </w:r>
    </w:p>
    <w:p w:rsidR="008E0B09" w:rsidRPr="008E0B09" w:rsidRDefault="008E0B09" w:rsidP="00BE7DF9">
      <w:pPr>
        <w:spacing w:line="360" w:lineRule="auto"/>
        <w:jc w:val="both"/>
        <w:rPr>
          <w:rFonts w:cs="Arial"/>
          <w:bCs/>
          <w:shd w:val="clear" w:color="auto" w:fill="FFFFFF"/>
        </w:rPr>
      </w:pPr>
      <w:r w:rsidRPr="008E0B09">
        <w:rPr>
          <w:rFonts w:cs="Arial"/>
          <w:bCs/>
          <w:shd w:val="clear" w:color="auto" w:fill="FFFFFF"/>
        </w:rPr>
        <w:t>Le modalità di pubblicizzazione sono illustrate nella tavola che segue:</w:t>
      </w:r>
    </w:p>
    <w:p w:rsidR="008E0B09" w:rsidRDefault="002D6C4C" w:rsidP="008E0B09">
      <w:pPr>
        <w:spacing w:after="0"/>
        <w:jc w:val="center"/>
        <w:rPr>
          <w:rFonts w:cs="Arial"/>
          <w:bCs/>
          <w:sz w:val="16"/>
          <w:szCs w:val="16"/>
          <w:shd w:val="clear" w:color="auto" w:fill="FFFFFF"/>
        </w:rPr>
      </w:pPr>
      <w:r>
        <w:rPr>
          <w:rFonts w:cs="Arial"/>
          <w:bCs/>
          <w:sz w:val="16"/>
          <w:szCs w:val="16"/>
          <w:shd w:val="clear" w:color="auto" w:fill="FFFFFF"/>
        </w:rPr>
        <w:t xml:space="preserve">TAV. 6 </w:t>
      </w:r>
      <w:r w:rsidR="008E0B09" w:rsidRPr="008E0B09">
        <w:rPr>
          <w:rFonts w:cs="Arial"/>
          <w:bCs/>
          <w:sz w:val="16"/>
          <w:szCs w:val="16"/>
          <w:shd w:val="clear" w:color="auto" w:fill="FFFFFF"/>
        </w:rPr>
        <w:t xml:space="preserve"> modalità di pubblicizzazione valori in percentuale</w:t>
      </w:r>
    </w:p>
    <w:p w:rsidR="008E0B09" w:rsidRDefault="008E0B09" w:rsidP="008E0B09">
      <w:pPr>
        <w:jc w:val="center"/>
        <w:rPr>
          <w:sz w:val="16"/>
          <w:szCs w:val="16"/>
        </w:rPr>
      </w:pPr>
      <w:r>
        <w:rPr>
          <w:noProof/>
          <w:lang w:eastAsia="it-IT"/>
        </w:rPr>
        <w:drawing>
          <wp:inline distT="0" distB="0" distL="0" distR="0">
            <wp:extent cx="4934309" cy="2682815"/>
            <wp:effectExtent l="0" t="0" r="19050" b="2286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7DF9" w:rsidRDefault="00BE7DF9" w:rsidP="00D64327">
      <w:pPr>
        <w:spacing w:after="0"/>
        <w:jc w:val="center"/>
        <w:rPr>
          <w:sz w:val="16"/>
          <w:szCs w:val="16"/>
        </w:rPr>
      </w:pPr>
    </w:p>
    <w:p w:rsidR="00BE7DF9" w:rsidRDefault="00BE7DF9" w:rsidP="00D64327">
      <w:pPr>
        <w:spacing w:after="0"/>
        <w:jc w:val="center"/>
        <w:rPr>
          <w:sz w:val="16"/>
          <w:szCs w:val="16"/>
        </w:rPr>
      </w:pPr>
    </w:p>
    <w:p w:rsidR="00F719E3" w:rsidRPr="00D64327" w:rsidRDefault="002D6C4C" w:rsidP="00D64327">
      <w:pPr>
        <w:spacing w:after="0"/>
        <w:jc w:val="center"/>
        <w:rPr>
          <w:rFonts w:cs="Arial"/>
          <w:bCs/>
          <w:sz w:val="16"/>
          <w:szCs w:val="16"/>
          <w:shd w:val="clear" w:color="auto" w:fill="FFFFFF"/>
        </w:rPr>
      </w:pPr>
      <w:r>
        <w:rPr>
          <w:sz w:val="16"/>
          <w:szCs w:val="16"/>
        </w:rPr>
        <w:t>TAV. 6</w:t>
      </w:r>
      <w:r w:rsidR="00F719E3">
        <w:rPr>
          <w:sz w:val="16"/>
          <w:szCs w:val="16"/>
        </w:rPr>
        <w:t xml:space="preserve">.1 </w:t>
      </w:r>
      <w:r w:rsidR="00F719E3" w:rsidRPr="008E0B09">
        <w:rPr>
          <w:rFonts w:cs="Arial"/>
          <w:bCs/>
          <w:sz w:val="16"/>
          <w:szCs w:val="16"/>
          <w:shd w:val="clear" w:color="auto" w:fill="FFFFFF"/>
        </w:rPr>
        <w:t>modalità di pubblicizzazione</w:t>
      </w:r>
      <w:r w:rsidR="00F719E3">
        <w:rPr>
          <w:rFonts w:cs="Arial"/>
          <w:bCs/>
          <w:sz w:val="16"/>
          <w:szCs w:val="16"/>
          <w:shd w:val="clear" w:color="auto" w:fill="FFFFFF"/>
        </w:rPr>
        <w:t xml:space="preserve"> per ordine scolastico </w:t>
      </w:r>
      <w:r w:rsidR="00F719E3" w:rsidRPr="008E0B09">
        <w:rPr>
          <w:rFonts w:cs="Arial"/>
          <w:bCs/>
          <w:sz w:val="16"/>
          <w:szCs w:val="16"/>
          <w:shd w:val="clear" w:color="auto" w:fill="FFFFFF"/>
        </w:rPr>
        <w:t xml:space="preserve"> valori in percentuale</w:t>
      </w:r>
    </w:p>
    <w:p w:rsidR="00D64327" w:rsidRDefault="00245301" w:rsidP="00245301">
      <w:pPr>
        <w:jc w:val="center"/>
        <w:rPr>
          <w:sz w:val="16"/>
          <w:szCs w:val="16"/>
        </w:rPr>
      </w:pPr>
      <w:r>
        <w:rPr>
          <w:noProof/>
          <w:lang w:eastAsia="it-IT"/>
        </w:rPr>
        <w:drawing>
          <wp:inline distT="0" distB="0" distL="0" distR="0">
            <wp:extent cx="4416725" cy="2648310"/>
            <wp:effectExtent l="0" t="0" r="22225" b="19050"/>
            <wp:docPr id="12" name="Gra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4327" w:rsidRDefault="006421E3" w:rsidP="00D64327">
      <w:pPr>
        <w:jc w:val="both"/>
        <w:rPr>
          <w:b/>
        </w:rPr>
      </w:pPr>
      <w:r w:rsidRPr="00783AC7">
        <w:rPr>
          <w:b/>
        </w:rPr>
        <w:t>I DATI DEL</w:t>
      </w:r>
      <w:r w:rsidR="00E77560">
        <w:rPr>
          <w:b/>
        </w:rPr>
        <w:t xml:space="preserve">LA </w:t>
      </w:r>
      <w:r w:rsidRPr="00783AC7">
        <w:rPr>
          <w:b/>
        </w:rPr>
        <w:t>SCHEDA</w:t>
      </w:r>
      <w:r w:rsidR="00E77560">
        <w:rPr>
          <w:b/>
        </w:rPr>
        <w:t xml:space="preserve"> 3</w:t>
      </w:r>
      <w:r w:rsidR="00E20CD7">
        <w:rPr>
          <w:rStyle w:val="Rimandonotaapidipagina"/>
          <w:b/>
        </w:rPr>
        <w:footnoteReference w:id="6"/>
      </w:r>
    </w:p>
    <w:p w:rsidR="007F6E8E" w:rsidRDefault="000156AB" w:rsidP="00D64327">
      <w:pPr>
        <w:jc w:val="both"/>
        <w:rPr>
          <w:b/>
        </w:rPr>
      </w:pPr>
      <w:r>
        <w:rPr>
          <w:b/>
        </w:rPr>
        <w:t>La distribuzione del Fondo per il Merito</w:t>
      </w:r>
    </w:p>
    <w:p w:rsidR="007F6E8E" w:rsidRPr="007F6E8E" w:rsidRDefault="00E20CD7" w:rsidP="005724B6">
      <w:pPr>
        <w:jc w:val="both"/>
      </w:pPr>
      <w:r w:rsidRPr="00DE42BC">
        <w:t xml:space="preserve">Tutte le scuole del campione hanno assegnato </w:t>
      </w:r>
      <w:r w:rsidRPr="00DE42BC">
        <w:rPr>
          <w:rStyle w:val="apple-converted-space"/>
          <w:rFonts w:ascii="Arial" w:hAnsi="Arial" w:cs="Arial"/>
          <w:bCs/>
          <w:sz w:val="30"/>
          <w:szCs w:val="30"/>
          <w:shd w:val="clear" w:color="auto" w:fill="FFFFFF"/>
        </w:rPr>
        <w:t> </w:t>
      </w:r>
      <w:r w:rsidRPr="00DE42BC">
        <w:rPr>
          <w:rStyle w:val="apple-converted-space"/>
          <w:rFonts w:cs="Arial"/>
          <w:bCs/>
          <w:shd w:val="clear" w:color="auto" w:fill="FFFFFF"/>
        </w:rPr>
        <w:t>il fondo per il merito.</w:t>
      </w:r>
      <w:r w:rsidR="008507EB" w:rsidRPr="00DE42BC">
        <w:rPr>
          <w:rStyle w:val="Rimandonotaapidipagina"/>
          <w:rFonts w:cs="Arial"/>
          <w:bCs/>
          <w:shd w:val="clear" w:color="auto" w:fill="FFFFFF"/>
        </w:rPr>
        <w:footnoteReference w:id="7"/>
      </w:r>
      <w:r w:rsidR="00ED6654" w:rsidRPr="00DE42BC">
        <w:rPr>
          <w:rStyle w:val="apple-converted-space"/>
          <w:rFonts w:cs="Arial"/>
          <w:bCs/>
          <w:shd w:val="clear" w:color="auto" w:fill="FFFFFF"/>
        </w:rPr>
        <w:t xml:space="preserve"> </w:t>
      </w:r>
      <w:r w:rsidR="0054462E" w:rsidRPr="007F6E8E">
        <w:t xml:space="preserve">Il </w:t>
      </w:r>
      <w:r w:rsidR="0054462E" w:rsidRPr="000156AB">
        <w:rPr>
          <w:b/>
        </w:rPr>
        <w:t>numero medio dei docenti beneficiari del fondo</w:t>
      </w:r>
      <w:r w:rsidR="009A67FB">
        <w:t xml:space="preserve"> è di 34,7</w:t>
      </w:r>
      <w:r w:rsidR="0054462E" w:rsidRPr="007F6E8E">
        <w:t xml:space="preserve"> unità</w:t>
      </w:r>
      <w:r w:rsidR="007F6E8E" w:rsidRPr="007F6E8E">
        <w:t>.</w:t>
      </w:r>
    </w:p>
    <w:p w:rsidR="00901A33" w:rsidRDefault="0054462E" w:rsidP="00901A33">
      <w:pPr>
        <w:spacing w:line="360" w:lineRule="auto"/>
        <w:jc w:val="both"/>
      </w:pPr>
      <w:r w:rsidRPr="007F6E8E">
        <w:t>Disaggregando il dato per ordine scolastico</w:t>
      </w:r>
      <w:r w:rsidR="007F6E8E" w:rsidRPr="007F6E8E">
        <w:t>,</w:t>
      </w:r>
      <w:r w:rsidRPr="007F6E8E">
        <w:t xml:space="preserve"> il punteggio medio per il primo ciclo è </w:t>
      </w:r>
      <w:r w:rsidR="009A67FB">
        <w:t>34,9</w:t>
      </w:r>
      <w:r w:rsidR="007F6E8E" w:rsidRPr="007F6E8E">
        <w:t xml:space="preserve">  per le istituzioni del secondo</w:t>
      </w:r>
      <w:r w:rsidR="009A67FB">
        <w:t xml:space="preserve"> ciclo è 34,3</w:t>
      </w:r>
      <w:r w:rsidRPr="007F6E8E">
        <w:t>.</w:t>
      </w:r>
      <w:r w:rsidR="007F6E8E" w:rsidRPr="007F6E8E">
        <w:t xml:space="preserve"> </w:t>
      </w:r>
      <w:r w:rsidR="000A3B59">
        <w:t xml:space="preserve">Si segnala </w:t>
      </w:r>
      <w:proofErr w:type="spellStart"/>
      <w:r w:rsidR="000A3B59">
        <w:t>I</w:t>
      </w:r>
      <w:r w:rsidR="007F6E8E" w:rsidRPr="007F6E8E">
        <w:t>a</w:t>
      </w:r>
      <w:proofErr w:type="spellEnd"/>
      <w:r w:rsidR="007F6E8E" w:rsidRPr="007F6E8E">
        <w:t xml:space="preserve"> presenza di un’istituzione scolastica che distribuisce il fondo a 115 docenti su 15</w:t>
      </w:r>
      <w:r w:rsidR="000A3B59">
        <w:t>0</w:t>
      </w:r>
      <w:r w:rsidR="007F6E8E" w:rsidRPr="007F6E8E">
        <w:t xml:space="preserve">. </w:t>
      </w:r>
      <w:r w:rsidR="000A3B59" w:rsidRPr="000A3B59">
        <w:t xml:space="preserve">La vicinanza dei punteggi conferma la bontà della media indipendentemente dal numero delle istituzioni campionate. </w:t>
      </w:r>
    </w:p>
    <w:p w:rsidR="005113D7" w:rsidRDefault="00C0308D" w:rsidP="005113D7">
      <w:pPr>
        <w:jc w:val="both"/>
      </w:pPr>
      <w:r w:rsidRPr="00C0308D">
        <w:t>Circa l</w:t>
      </w:r>
      <w:r w:rsidR="000156AB">
        <w:t xml:space="preserve">e </w:t>
      </w:r>
      <w:r w:rsidR="000156AB" w:rsidRPr="000156AB">
        <w:rPr>
          <w:b/>
        </w:rPr>
        <w:t>modalità di assegnazione del B</w:t>
      </w:r>
      <w:r w:rsidRPr="000156AB">
        <w:rPr>
          <w:b/>
        </w:rPr>
        <w:t>onus</w:t>
      </w:r>
      <w:r w:rsidRPr="00C0308D">
        <w:t xml:space="preserve"> </w:t>
      </w:r>
      <w:r w:rsidR="00040D41">
        <w:t>la tavola illustra i punteggi:</w:t>
      </w:r>
    </w:p>
    <w:p w:rsidR="00040D41" w:rsidRPr="005113D7" w:rsidRDefault="00040D41" w:rsidP="005113D7">
      <w:pPr>
        <w:spacing w:after="0"/>
        <w:jc w:val="center"/>
      </w:pPr>
      <w:r w:rsidRPr="00040D41">
        <w:rPr>
          <w:sz w:val="16"/>
          <w:szCs w:val="16"/>
        </w:rPr>
        <w:t>TAV. 7</w:t>
      </w:r>
      <w:r w:rsidR="00256786">
        <w:rPr>
          <w:sz w:val="16"/>
          <w:szCs w:val="16"/>
        </w:rPr>
        <w:t xml:space="preserve"> </w:t>
      </w:r>
      <w:r w:rsidRPr="00040D41">
        <w:rPr>
          <w:sz w:val="16"/>
          <w:szCs w:val="16"/>
        </w:rPr>
        <w:t xml:space="preserve"> modalità di assegnazione del bonus – valori in percentuale</w:t>
      </w:r>
    </w:p>
    <w:p w:rsidR="00040D41" w:rsidRPr="00040D41" w:rsidRDefault="000B51F4" w:rsidP="00040D41">
      <w:pPr>
        <w:jc w:val="center"/>
        <w:rPr>
          <w:sz w:val="16"/>
          <w:szCs w:val="16"/>
        </w:rPr>
      </w:pPr>
      <w:r>
        <w:rPr>
          <w:noProof/>
          <w:lang w:eastAsia="it-IT"/>
        </w:rPr>
        <w:drawing>
          <wp:inline distT="0" distB="0" distL="0" distR="0">
            <wp:extent cx="4572000" cy="2113471"/>
            <wp:effectExtent l="0" t="0" r="19050" b="20320"/>
            <wp:docPr id="17" name="Gra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6786" w:rsidRPr="00901A33" w:rsidRDefault="00040D41" w:rsidP="00901A33">
      <w:pPr>
        <w:spacing w:line="360" w:lineRule="auto"/>
        <w:jc w:val="both"/>
      </w:pPr>
      <w:r w:rsidRPr="00040D41">
        <w:lastRenderedPageBreak/>
        <w:t xml:space="preserve">Per gli istituti comprensivi è previsto il dettaglio circa la </w:t>
      </w:r>
      <w:r w:rsidRPr="000156AB">
        <w:rPr>
          <w:b/>
        </w:rPr>
        <w:t>distribuzione per i tre ordini scolastici</w:t>
      </w:r>
      <w:r w:rsidR="000156AB">
        <w:t>. Il grafico che segue</w:t>
      </w:r>
      <w:r w:rsidR="00E71A29">
        <w:t xml:space="preserve"> </w:t>
      </w:r>
      <w:r w:rsidR="000156AB">
        <w:t xml:space="preserve">ne illustra </w:t>
      </w:r>
      <w:r w:rsidR="00E71A29">
        <w:t>l’andamento</w:t>
      </w:r>
      <w:r w:rsidR="00132A7C">
        <w:t>:</w:t>
      </w:r>
    </w:p>
    <w:p w:rsidR="00256786" w:rsidRDefault="00256786" w:rsidP="00132A7C">
      <w:pPr>
        <w:spacing w:after="0"/>
        <w:jc w:val="center"/>
        <w:rPr>
          <w:sz w:val="16"/>
          <w:szCs w:val="16"/>
        </w:rPr>
      </w:pPr>
    </w:p>
    <w:p w:rsidR="00E71A29" w:rsidRDefault="00E71A29" w:rsidP="00132A7C">
      <w:pPr>
        <w:spacing w:after="0"/>
        <w:jc w:val="center"/>
        <w:rPr>
          <w:sz w:val="16"/>
          <w:szCs w:val="16"/>
        </w:rPr>
      </w:pPr>
      <w:r w:rsidRPr="00E71A29">
        <w:rPr>
          <w:sz w:val="16"/>
          <w:szCs w:val="16"/>
        </w:rPr>
        <w:t>TAV. 8 distribuzione bonus – istituti comprensivi – valori medi percentuali</w:t>
      </w:r>
      <w:r w:rsidR="00132A7C">
        <w:rPr>
          <w:rStyle w:val="Rimandonotaapidipagina"/>
          <w:sz w:val="16"/>
          <w:szCs w:val="16"/>
        </w:rPr>
        <w:footnoteReference w:id="8"/>
      </w:r>
    </w:p>
    <w:p w:rsidR="00E71A29" w:rsidRDefault="00E71A29" w:rsidP="00E71A29">
      <w:pPr>
        <w:jc w:val="center"/>
        <w:rPr>
          <w:sz w:val="16"/>
          <w:szCs w:val="16"/>
        </w:rPr>
      </w:pPr>
      <w:r>
        <w:rPr>
          <w:noProof/>
          <w:lang w:eastAsia="it-IT"/>
        </w:rPr>
        <w:drawing>
          <wp:inline distT="0" distB="0" distL="0" distR="0">
            <wp:extent cx="4572000" cy="2863970"/>
            <wp:effectExtent l="0" t="0" r="19050" b="12700"/>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155D8" w:rsidRDefault="002155D8" w:rsidP="002155D8">
      <w:pPr>
        <w:spacing w:after="0" w:line="360" w:lineRule="auto"/>
        <w:jc w:val="both"/>
        <w:rPr>
          <w:rFonts w:eastAsia="Times New Roman" w:cs="Arial"/>
          <w:bCs/>
          <w:lang w:eastAsia="it-IT"/>
        </w:rPr>
      </w:pPr>
    </w:p>
    <w:p w:rsidR="002155D8" w:rsidRDefault="002155D8" w:rsidP="002155D8">
      <w:pPr>
        <w:spacing w:after="0" w:line="360" w:lineRule="auto"/>
        <w:jc w:val="both"/>
        <w:rPr>
          <w:rFonts w:eastAsia="Times New Roman" w:cs="Arial"/>
          <w:bCs/>
          <w:lang w:eastAsia="it-IT"/>
        </w:rPr>
      </w:pPr>
    </w:p>
    <w:p w:rsidR="002155D8" w:rsidRDefault="00A36392" w:rsidP="002155D8">
      <w:pPr>
        <w:spacing w:after="0" w:line="360" w:lineRule="auto"/>
        <w:jc w:val="both"/>
        <w:rPr>
          <w:rFonts w:eastAsia="Times New Roman" w:cs="Arial"/>
          <w:bCs/>
          <w:lang w:eastAsia="it-IT"/>
        </w:rPr>
      </w:pPr>
      <w:r>
        <w:rPr>
          <w:rFonts w:eastAsia="Times New Roman" w:cs="Arial"/>
          <w:bCs/>
          <w:lang w:eastAsia="it-IT"/>
        </w:rPr>
        <w:t>Per acceder al bonus di valorizzazione della professionalità docente, l</w:t>
      </w:r>
      <w:r w:rsidR="003D5A66" w:rsidRPr="003D5A66">
        <w:rPr>
          <w:rFonts w:eastAsia="Times New Roman" w:cs="Arial"/>
          <w:bCs/>
          <w:lang w:eastAsia="it-IT"/>
        </w:rPr>
        <w:t xml:space="preserve">a maggioranza </w:t>
      </w:r>
      <w:r w:rsidR="00AA26FE">
        <w:rPr>
          <w:rFonts w:eastAsia="Times New Roman" w:cs="Arial"/>
          <w:bCs/>
          <w:lang w:eastAsia="it-IT"/>
        </w:rPr>
        <w:t xml:space="preserve">delle istituzioni scolastiche </w:t>
      </w:r>
      <w:r w:rsidR="00AA26FE" w:rsidRPr="00313C35">
        <w:rPr>
          <w:rFonts w:eastAsia="Times New Roman" w:cs="Arial"/>
          <w:b/>
          <w:bCs/>
          <w:lang w:eastAsia="it-IT"/>
        </w:rPr>
        <w:t>ha</w:t>
      </w:r>
      <w:r w:rsidR="003D5A66" w:rsidRPr="00313C35">
        <w:rPr>
          <w:rFonts w:eastAsia="Times New Roman" w:cs="Arial"/>
          <w:b/>
          <w:bCs/>
          <w:lang w:eastAsia="it-IT"/>
        </w:rPr>
        <w:t xml:space="preserve"> </w:t>
      </w:r>
      <w:r w:rsidR="00AA26FE" w:rsidRPr="00313C35">
        <w:rPr>
          <w:rFonts w:eastAsia="Times New Roman" w:cs="Arial"/>
          <w:b/>
          <w:bCs/>
          <w:lang w:eastAsia="it-IT"/>
        </w:rPr>
        <w:t xml:space="preserve">richiesto ai docenti di presentare la propria candidatura supportata, in molti casi, da </w:t>
      </w:r>
      <w:r w:rsidR="000156AB" w:rsidRPr="00313C35">
        <w:rPr>
          <w:rFonts w:eastAsia="Times New Roman" w:cs="Arial"/>
          <w:b/>
          <w:bCs/>
          <w:lang w:eastAsia="it-IT"/>
        </w:rPr>
        <w:t xml:space="preserve"> adeguata documentazione</w:t>
      </w:r>
      <w:r w:rsidR="000156AB" w:rsidRPr="00313C35">
        <w:rPr>
          <w:rFonts w:eastAsia="Times New Roman" w:cs="Arial"/>
          <w:bCs/>
          <w:lang w:eastAsia="it-IT"/>
        </w:rPr>
        <w:t>.</w:t>
      </w:r>
      <w:r w:rsidR="000156AB">
        <w:rPr>
          <w:rFonts w:eastAsia="Times New Roman" w:cs="Arial"/>
          <w:bCs/>
          <w:lang w:eastAsia="it-IT"/>
        </w:rPr>
        <w:t xml:space="preserve"> </w:t>
      </w:r>
    </w:p>
    <w:p w:rsidR="00D03A3B" w:rsidRDefault="00D03A3B" w:rsidP="002155D8">
      <w:pPr>
        <w:spacing w:after="0" w:line="360" w:lineRule="auto"/>
        <w:jc w:val="both"/>
        <w:rPr>
          <w:rFonts w:eastAsia="Times New Roman" w:cs="Arial"/>
          <w:bCs/>
          <w:lang w:eastAsia="it-IT"/>
        </w:rPr>
      </w:pPr>
    </w:p>
    <w:p w:rsidR="003D5A66" w:rsidRPr="003D5A66" w:rsidRDefault="000156AB" w:rsidP="002155D8">
      <w:pPr>
        <w:spacing w:after="0" w:line="360" w:lineRule="auto"/>
        <w:jc w:val="both"/>
        <w:rPr>
          <w:rFonts w:eastAsia="Times New Roman" w:cs="Arial"/>
          <w:bCs/>
          <w:lang w:eastAsia="it-IT"/>
        </w:rPr>
      </w:pPr>
      <w:r>
        <w:rPr>
          <w:rFonts w:eastAsia="Times New Roman" w:cs="Arial"/>
          <w:bCs/>
          <w:lang w:eastAsia="it-IT"/>
        </w:rPr>
        <w:t>I</w:t>
      </w:r>
      <w:r w:rsidR="003D5A66" w:rsidRPr="003D5A66">
        <w:rPr>
          <w:rFonts w:eastAsia="Times New Roman" w:cs="Arial"/>
          <w:bCs/>
          <w:lang w:eastAsia="it-IT"/>
        </w:rPr>
        <w:t>l grafico illustra i punteggi:</w:t>
      </w:r>
    </w:p>
    <w:p w:rsidR="000C27CB" w:rsidRPr="003D5A66" w:rsidRDefault="003D5A66" w:rsidP="003D5A66">
      <w:pPr>
        <w:jc w:val="center"/>
        <w:rPr>
          <w:sz w:val="16"/>
          <w:szCs w:val="16"/>
        </w:rPr>
      </w:pPr>
      <w:r w:rsidRPr="003D5A66">
        <w:rPr>
          <w:rFonts w:eastAsia="Times New Roman" w:cs="Arial"/>
          <w:bCs/>
          <w:sz w:val="16"/>
          <w:szCs w:val="16"/>
          <w:lang w:eastAsia="it-IT"/>
        </w:rPr>
        <w:t>TAV 9 acquisizione documentazione</w:t>
      </w:r>
      <w:r w:rsidR="000156AB">
        <w:rPr>
          <w:rFonts w:eastAsia="Times New Roman" w:cs="Arial"/>
          <w:bCs/>
          <w:sz w:val="16"/>
          <w:szCs w:val="16"/>
          <w:lang w:eastAsia="it-IT"/>
        </w:rPr>
        <w:t xml:space="preserve"> prima dell’assegnazione del Bonus </w:t>
      </w:r>
      <w:r w:rsidRPr="003D5A66">
        <w:rPr>
          <w:rFonts w:eastAsia="Times New Roman" w:cs="Arial"/>
          <w:bCs/>
          <w:sz w:val="16"/>
          <w:szCs w:val="16"/>
          <w:lang w:eastAsia="it-IT"/>
        </w:rPr>
        <w:t xml:space="preserve"> – valori in percentuale</w:t>
      </w:r>
      <w:r w:rsidR="000C27CB" w:rsidRPr="003D5A66">
        <w:rPr>
          <w:rFonts w:eastAsia="Times New Roman" w:cs="Arial"/>
          <w:sz w:val="16"/>
          <w:szCs w:val="16"/>
          <w:lang w:eastAsia="it-IT"/>
        </w:rPr>
        <w:br/>
      </w:r>
      <w:r w:rsidR="000B51F4">
        <w:rPr>
          <w:noProof/>
          <w:lang w:eastAsia="it-IT"/>
        </w:rPr>
        <w:drawing>
          <wp:inline distT="0" distB="0" distL="0" distR="0">
            <wp:extent cx="4572000" cy="2363638"/>
            <wp:effectExtent l="0" t="0" r="19050" b="17780"/>
            <wp:docPr id="18" name="Gra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27CB" w:rsidRDefault="000C27CB" w:rsidP="000C27CB">
      <w:pPr>
        <w:jc w:val="both"/>
      </w:pPr>
    </w:p>
    <w:p w:rsidR="001624A7" w:rsidRDefault="001624A7" w:rsidP="002155D8">
      <w:pPr>
        <w:spacing w:line="360" w:lineRule="auto"/>
        <w:jc w:val="both"/>
      </w:pPr>
    </w:p>
    <w:p w:rsidR="00F47B25" w:rsidRDefault="00F47B25" w:rsidP="002155D8">
      <w:pPr>
        <w:spacing w:line="360" w:lineRule="auto"/>
        <w:jc w:val="both"/>
      </w:pPr>
      <w:r>
        <w:t xml:space="preserve">La scheda di monitoraggio prevede un box di testo per dettagliare la </w:t>
      </w:r>
      <w:r w:rsidRPr="00F47B25">
        <w:rPr>
          <w:b/>
        </w:rPr>
        <w:t>tipologia della documentazione acquisita, prima dell’assegnazione del Bonus</w:t>
      </w:r>
      <w:r>
        <w:t>. Dalla lettura delle dichiarazioni sono emerse 4 possibili tipologie:</w:t>
      </w:r>
    </w:p>
    <w:p w:rsidR="00F47B25" w:rsidRDefault="00F47B25" w:rsidP="002155D8">
      <w:pPr>
        <w:pStyle w:val="Paragrafoelenco"/>
        <w:numPr>
          <w:ilvl w:val="0"/>
          <w:numId w:val="1"/>
        </w:numPr>
        <w:spacing w:line="360" w:lineRule="auto"/>
        <w:jc w:val="both"/>
      </w:pPr>
      <w:r>
        <w:t>autodichiarazione (scheda di autovalutazione, autodichiarazione di incarichi, percorsi formativi, ecc.)</w:t>
      </w:r>
      <w:r w:rsidR="008D6CC7">
        <w:t>;</w:t>
      </w:r>
    </w:p>
    <w:p w:rsidR="00F47B25" w:rsidRDefault="00F47B25" w:rsidP="002155D8">
      <w:pPr>
        <w:pStyle w:val="Paragrafoelenco"/>
        <w:numPr>
          <w:ilvl w:val="0"/>
          <w:numId w:val="1"/>
        </w:numPr>
        <w:spacing w:line="360" w:lineRule="auto"/>
        <w:jc w:val="both"/>
      </w:pPr>
      <w:r>
        <w:t>dossier (relazioni, materiali prodotti, ecc.)</w:t>
      </w:r>
      <w:r w:rsidR="008D6CC7">
        <w:t>;</w:t>
      </w:r>
    </w:p>
    <w:p w:rsidR="00F47B25" w:rsidRDefault="00F47B25" w:rsidP="002155D8">
      <w:pPr>
        <w:pStyle w:val="Paragrafoelenco"/>
        <w:numPr>
          <w:ilvl w:val="0"/>
          <w:numId w:val="1"/>
        </w:numPr>
        <w:spacing w:line="360" w:lineRule="auto"/>
        <w:jc w:val="both"/>
      </w:pPr>
      <w:r>
        <w:t>documenti della scuola (atti contenuti nel Fascicolo Personale)</w:t>
      </w:r>
      <w:r w:rsidR="008D6CC7">
        <w:t>;</w:t>
      </w:r>
    </w:p>
    <w:p w:rsidR="00F47B25" w:rsidRDefault="00F47B25" w:rsidP="002155D8">
      <w:pPr>
        <w:pStyle w:val="Paragrafoelenco"/>
        <w:numPr>
          <w:ilvl w:val="0"/>
          <w:numId w:val="1"/>
        </w:numPr>
        <w:spacing w:line="360" w:lineRule="auto"/>
        <w:jc w:val="both"/>
      </w:pPr>
      <w:r>
        <w:t>valutazione da parte dell’utenza (questionari di gradimento prevalentemente per le scuole secondarie superiori)</w:t>
      </w:r>
      <w:r w:rsidR="008D6CC7">
        <w:t>.</w:t>
      </w:r>
      <w:r>
        <w:t xml:space="preserve"> </w:t>
      </w:r>
    </w:p>
    <w:p w:rsidR="00F47B25" w:rsidRDefault="00F47B25" w:rsidP="002155D8">
      <w:pPr>
        <w:spacing w:line="360" w:lineRule="auto"/>
        <w:jc w:val="both"/>
      </w:pPr>
      <w:r>
        <w:t>Rispetto alla tipologia della documentazione, la tavola che segue ne illustra la ripartizione:</w:t>
      </w:r>
    </w:p>
    <w:p w:rsidR="00F25591" w:rsidRDefault="00F25591" w:rsidP="00F25591">
      <w:pPr>
        <w:spacing w:after="0"/>
        <w:jc w:val="center"/>
        <w:rPr>
          <w:sz w:val="16"/>
          <w:szCs w:val="16"/>
        </w:rPr>
      </w:pPr>
      <w:r w:rsidRPr="00F25591">
        <w:rPr>
          <w:sz w:val="16"/>
          <w:szCs w:val="16"/>
        </w:rPr>
        <w:t>TAV. 10 tipologia documentazione [scelte multiple] valori in percentuale</w:t>
      </w:r>
    </w:p>
    <w:p w:rsidR="00F25591" w:rsidRPr="00F25591" w:rsidRDefault="000B51F4" w:rsidP="00F25591">
      <w:pPr>
        <w:jc w:val="center"/>
        <w:rPr>
          <w:sz w:val="16"/>
          <w:szCs w:val="16"/>
        </w:rPr>
      </w:pPr>
      <w:r>
        <w:rPr>
          <w:noProof/>
          <w:lang w:eastAsia="it-IT"/>
        </w:rPr>
        <w:drawing>
          <wp:inline distT="0" distB="0" distL="0" distR="0">
            <wp:extent cx="4572000" cy="2372264"/>
            <wp:effectExtent l="0" t="0" r="19050" b="9525"/>
            <wp:docPr id="19" name="Gra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155D8" w:rsidRDefault="002155D8" w:rsidP="002155D8">
      <w:pPr>
        <w:rPr>
          <w:sz w:val="16"/>
          <w:szCs w:val="16"/>
        </w:rPr>
      </w:pPr>
    </w:p>
    <w:p w:rsidR="00F47B25" w:rsidRDefault="00FA6792" w:rsidP="002155D8">
      <w:pPr>
        <w:spacing w:line="360" w:lineRule="auto"/>
        <w:jc w:val="both"/>
        <w:rPr>
          <w:rFonts w:cs="Arial"/>
          <w:bCs/>
          <w:shd w:val="clear" w:color="auto" w:fill="FFFFFF"/>
        </w:rPr>
      </w:pPr>
      <w:r>
        <w:rPr>
          <w:rFonts w:cs="Arial"/>
          <w:bCs/>
          <w:shd w:val="clear" w:color="auto" w:fill="FFFFFF"/>
        </w:rPr>
        <w:t>L’83,1</w:t>
      </w:r>
      <w:r w:rsidR="00245301" w:rsidRPr="00245301">
        <w:rPr>
          <w:rFonts w:cs="Arial"/>
          <w:bCs/>
          <w:shd w:val="clear" w:color="auto" w:fill="FFFFFF"/>
        </w:rPr>
        <w:t xml:space="preserve">% </w:t>
      </w:r>
      <w:r w:rsidR="00F47B25">
        <w:rPr>
          <w:rFonts w:cs="Arial"/>
          <w:bCs/>
          <w:shd w:val="clear" w:color="auto" w:fill="FFFFFF"/>
        </w:rPr>
        <w:t>dei</w:t>
      </w:r>
      <w:r w:rsidR="00245301" w:rsidRPr="00245301">
        <w:rPr>
          <w:rFonts w:cs="Arial"/>
          <w:bCs/>
          <w:shd w:val="clear" w:color="auto" w:fill="FFFFFF"/>
        </w:rPr>
        <w:t xml:space="preserve"> </w:t>
      </w:r>
      <w:r w:rsidR="00F47B25">
        <w:rPr>
          <w:rFonts w:cs="Arial"/>
          <w:b/>
          <w:bCs/>
          <w:shd w:val="clear" w:color="auto" w:fill="FFFFFF"/>
        </w:rPr>
        <w:t>Dirigenti Scolastici</w:t>
      </w:r>
      <w:r w:rsidR="00245301" w:rsidRPr="00F47B25">
        <w:rPr>
          <w:rFonts w:cs="Arial"/>
          <w:b/>
          <w:bCs/>
          <w:shd w:val="clear" w:color="auto" w:fill="FFFFFF"/>
        </w:rPr>
        <w:t xml:space="preserve"> ha differenziato la quota del bonus</w:t>
      </w:r>
      <w:r w:rsidR="00245301" w:rsidRPr="00245301">
        <w:rPr>
          <w:rFonts w:cs="Arial"/>
          <w:bCs/>
          <w:shd w:val="clear" w:color="auto" w:fill="FFFFFF"/>
        </w:rPr>
        <w:t xml:space="preserve"> di</w:t>
      </w:r>
      <w:r w:rsidR="00B4171B">
        <w:rPr>
          <w:rFonts w:cs="Arial"/>
          <w:bCs/>
          <w:shd w:val="clear" w:color="auto" w:fill="FFFFFF"/>
        </w:rPr>
        <w:t>stribuito</w:t>
      </w:r>
      <w:r w:rsidR="00245301" w:rsidRPr="00245301">
        <w:rPr>
          <w:rFonts w:cs="Arial"/>
          <w:bCs/>
          <w:shd w:val="clear" w:color="auto" w:fill="FFFFFF"/>
        </w:rPr>
        <w:t xml:space="preserve"> tra i docenti aventi diritto.</w:t>
      </w:r>
      <w:r>
        <w:rPr>
          <w:rFonts w:cs="Arial"/>
          <w:bCs/>
          <w:shd w:val="clear" w:color="auto" w:fill="FFFFFF"/>
        </w:rPr>
        <w:t xml:space="preserve"> 13</w:t>
      </w:r>
      <w:r w:rsidR="00F47B25">
        <w:rPr>
          <w:rFonts w:cs="Arial"/>
          <w:bCs/>
          <w:shd w:val="clear" w:color="auto" w:fill="FFFFFF"/>
        </w:rPr>
        <w:t xml:space="preserve"> Dirigenti </w:t>
      </w:r>
      <w:r>
        <w:rPr>
          <w:rFonts w:cs="Arial"/>
          <w:bCs/>
          <w:shd w:val="clear" w:color="auto" w:fill="FFFFFF"/>
        </w:rPr>
        <w:t xml:space="preserve"> del I ciclo e 7</w:t>
      </w:r>
      <w:r w:rsidR="009F63C6">
        <w:rPr>
          <w:rFonts w:cs="Arial"/>
          <w:bCs/>
          <w:shd w:val="clear" w:color="auto" w:fill="FFFFFF"/>
        </w:rPr>
        <w:t xml:space="preserve"> del II, dichiarano di aver distri</w:t>
      </w:r>
      <w:r w:rsidR="00F47B25">
        <w:rPr>
          <w:rFonts w:cs="Arial"/>
          <w:bCs/>
          <w:shd w:val="clear" w:color="auto" w:fill="FFFFFF"/>
        </w:rPr>
        <w:t>buito le quote in parti uguali.</w:t>
      </w:r>
    </w:p>
    <w:p w:rsidR="008D6CC7" w:rsidRDefault="008D6CC7" w:rsidP="002155D8">
      <w:pPr>
        <w:spacing w:line="360" w:lineRule="auto"/>
        <w:jc w:val="both"/>
        <w:rPr>
          <w:rFonts w:cs="Arial"/>
          <w:bCs/>
          <w:shd w:val="clear" w:color="auto" w:fill="FFFFFF"/>
        </w:rPr>
      </w:pPr>
      <w:r>
        <w:rPr>
          <w:rFonts w:cs="Arial"/>
          <w:bCs/>
          <w:shd w:val="clear" w:color="auto" w:fill="FFFFFF"/>
        </w:rPr>
        <w:t>Per quanto concerne l</w:t>
      </w:r>
      <w:r w:rsidR="009B283D">
        <w:rPr>
          <w:rFonts w:cs="Arial"/>
          <w:bCs/>
          <w:shd w:val="clear" w:color="auto" w:fill="FFFFFF"/>
        </w:rPr>
        <w:t xml:space="preserve">e </w:t>
      </w:r>
      <w:r w:rsidR="009B283D" w:rsidRPr="008D6CC7">
        <w:rPr>
          <w:rFonts w:cs="Arial"/>
          <w:b/>
          <w:bCs/>
          <w:shd w:val="clear" w:color="auto" w:fill="FFFFFF"/>
        </w:rPr>
        <w:t>modalità di comunicazione</w:t>
      </w:r>
      <w:r w:rsidR="009B283D">
        <w:rPr>
          <w:rFonts w:cs="Arial"/>
          <w:bCs/>
          <w:shd w:val="clear" w:color="auto" w:fill="FFFFFF"/>
        </w:rPr>
        <w:t xml:space="preserve"> relative all’assegnazione del fondo </w:t>
      </w:r>
      <w:r>
        <w:rPr>
          <w:rFonts w:cs="Arial"/>
          <w:bCs/>
          <w:shd w:val="clear" w:color="auto" w:fill="FFFFFF"/>
        </w:rPr>
        <w:t>la scheda di monitoraggio prevede tre possibilità:</w:t>
      </w:r>
    </w:p>
    <w:p w:rsidR="008D6CC7" w:rsidRPr="008D6CC7" w:rsidRDefault="008D6CC7" w:rsidP="002155D8">
      <w:pPr>
        <w:pStyle w:val="Paragrafoelenco"/>
        <w:numPr>
          <w:ilvl w:val="0"/>
          <w:numId w:val="2"/>
        </w:numPr>
        <w:shd w:val="clear" w:color="auto" w:fill="FFFFFF"/>
        <w:spacing w:line="360" w:lineRule="auto"/>
        <w:rPr>
          <w:rFonts w:eastAsia="Times New Roman" w:cs="Arial"/>
          <w:lang w:eastAsia="it-IT"/>
        </w:rPr>
      </w:pPr>
      <w:r w:rsidRPr="008D6CC7">
        <w:rPr>
          <w:rFonts w:eastAsia="Times New Roman" w:cs="Arial"/>
          <w:lang w:eastAsia="it-IT"/>
        </w:rPr>
        <w:t>Con singole comunicazioni riservate ai soli docenti destinatari del fondo</w:t>
      </w:r>
      <w:r>
        <w:rPr>
          <w:rFonts w:eastAsia="Times New Roman" w:cs="Arial"/>
          <w:lang w:eastAsia="it-IT"/>
        </w:rPr>
        <w:t>;</w:t>
      </w:r>
    </w:p>
    <w:p w:rsidR="008D6CC7" w:rsidRPr="008D6CC7" w:rsidRDefault="008D6CC7" w:rsidP="002155D8">
      <w:pPr>
        <w:pStyle w:val="Paragrafoelenco"/>
        <w:numPr>
          <w:ilvl w:val="0"/>
          <w:numId w:val="2"/>
        </w:numPr>
        <w:shd w:val="clear" w:color="auto" w:fill="FFFFFF"/>
        <w:spacing w:line="360" w:lineRule="auto"/>
        <w:rPr>
          <w:rFonts w:eastAsia="Times New Roman" w:cs="Arial"/>
          <w:lang w:eastAsia="it-IT"/>
        </w:rPr>
      </w:pPr>
      <w:r w:rsidRPr="008D6CC7">
        <w:rPr>
          <w:rFonts w:eastAsia="Times New Roman" w:cs="Arial"/>
          <w:lang w:eastAsia="it-IT"/>
        </w:rPr>
        <w:t>Con una comunicazione comune per tutti i docenti destinatari del fondo</w:t>
      </w:r>
      <w:r>
        <w:rPr>
          <w:rFonts w:eastAsia="Times New Roman" w:cs="Arial"/>
          <w:lang w:eastAsia="it-IT"/>
        </w:rPr>
        <w:t>;</w:t>
      </w:r>
    </w:p>
    <w:p w:rsidR="008D6CC7" w:rsidRPr="008D6CC7" w:rsidRDefault="008D6CC7" w:rsidP="002155D8">
      <w:pPr>
        <w:pStyle w:val="Paragrafoelenco"/>
        <w:numPr>
          <w:ilvl w:val="0"/>
          <w:numId w:val="2"/>
        </w:numPr>
        <w:shd w:val="clear" w:color="auto" w:fill="FFFFFF"/>
        <w:spacing w:line="360" w:lineRule="auto"/>
        <w:rPr>
          <w:rFonts w:eastAsia="Times New Roman" w:cs="Arial"/>
          <w:lang w:eastAsia="it-IT"/>
        </w:rPr>
      </w:pPr>
      <w:r w:rsidRPr="008D6CC7">
        <w:rPr>
          <w:rFonts w:eastAsia="Times New Roman" w:cs="Arial"/>
          <w:lang w:eastAsia="it-IT"/>
        </w:rPr>
        <w:t>Con una comunicazione pubblica all’Albo della scuola</w:t>
      </w:r>
      <w:r>
        <w:rPr>
          <w:rFonts w:eastAsia="Times New Roman" w:cs="Arial"/>
          <w:lang w:eastAsia="it-IT"/>
        </w:rPr>
        <w:t>.</w:t>
      </w:r>
    </w:p>
    <w:p w:rsidR="008D6CC7" w:rsidRDefault="008D6CC7" w:rsidP="002155D8">
      <w:pPr>
        <w:spacing w:line="360" w:lineRule="auto"/>
        <w:jc w:val="both"/>
        <w:rPr>
          <w:rFonts w:cs="Arial"/>
          <w:bCs/>
          <w:shd w:val="clear" w:color="auto" w:fill="FFFFFF"/>
        </w:rPr>
      </w:pPr>
      <w:r>
        <w:rPr>
          <w:rFonts w:cs="Arial"/>
          <w:bCs/>
          <w:shd w:val="clear" w:color="auto" w:fill="FFFFFF"/>
        </w:rPr>
        <w:t>Il grafico che segue illustra i punteggi riassuntivi del campione.</w:t>
      </w:r>
    </w:p>
    <w:p w:rsidR="005113D7" w:rsidRDefault="005113D7" w:rsidP="002155D8">
      <w:pPr>
        <w:spacing w:line="360" w:lineRule="auto"/>
        <w:jc w:val="both"/>
        <w:rPr>
          <w:rFonts w:cs="Arial"/>
          <w:bCs/>
          <w:shd w:val="clear" w:color="auto" w:fill="FFFFFF"/>
        </w:rPr>
      </w:pPr>
    </w:p>
    <w:p w:rsidR="00256786" w:rsidRDefault="00256786" w:rsidP="00901A33">
      <w:pPr>
        <w:spacing w:after="0"/>
        <w:rPr>
          <w:rFonts w:cs="Arial"/>
          <w:bCs/>
          <w:sz w:val="16"/>
          <w:szCs w:val="16"/>
          <w:shd w:val="clear" w:color="auto" w:fill="FFFFFF"/>
        </w:rPr>
      </w:pPr>
    </w:p>
    <w:p w:rsidR="009B283D" w:rsidRDefault="009B283D" w:rsidP="008D6CC7">
      <w:pPr>
        <w:spacing w:after="0"/>
        <w:jc w:val="center"/>
        <w:rPr>
          <w:rFonts w:cs="Arial"/>
          <w:bCs/>
          <w:sz w:val="16"/>
          <w:szCs w:val="16"/>
          <w:shd w:val="clear" w:color="auto" w:fill="FFFFFF"/>
        </w:rPr>
      </w:pPr>
      <w:r w:rsidRPr="009B283D">
        <w:rPr>
          <w:rFonts w:cs="Arial"/>
          <w:bCs/>
          <w:sz w:val="16"/>
          <w:szCs w:val="16"/>
          <w:shd w:val="clear" w:color="auto" w:fill="FFFFFF"/>
        </w:rPr>
        <w:t>TAV. 11 modalità di comunicazione – valori in percentuale</w:t>
      </w:r>
    </w:p>
    <w:p w:rsidR="009B283D" w:rsidRPr="009B283D" w:rsidRDefault="00FA6792" w:rsidP="009B283D">
      <w:pPr>
        <w:jc w:val="center"/>
        <w:rPr>
          <w:sz w:val="16"/>
          <w:szCs w:val="16"/>
        </w:rPr>
      </w:pPr>
      <w:r>
        <w:rPr>
          <w:noProof/>
          <w:lang w:eastAsia="it-IT"/>
        </w:rPr>
        <w:drawing>
          <wp:inline distT="0" distB="0" distL="0" distR="0">
            <wp:extent cx="4572000" cy="2579298"/>
            <wp:effectExtent l="0" t="0" r="19050" b="12065"/>
            <wp:docPr id="20" name="Gra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56786" w:rsidRDefault="00256786" w:rsidP="008D6CC7">
      <w:pPr>
        <w:jc w:val="both"/>
      </w:pPr>
    </w:p>
    <w:p w:rsidR="008D6CC7" w:rsidRPr="008D6CC7" w:rsidRDefault="008D6CC7" w:rsidP="008D6CC7">
      <w:pPr>
        <w:jc w:val="both"/>
      </w:pPr>
      <w:r>
        <w:t>Disaggregando il dato tra I e II ciclo la situazio</w:t>
      </w:r>
      <w:r w:rsidRPr="008D6CC7">
        <w:t>n</w:t>
      </w:r>
      <w:r>
        <w:t>e</w:t>
      </w:r>
      <w:r w:rsidRPr="008D6CC7">
        <w:t xml:space="preserve"> è la seguente:</w:t>
      </w:r>
    </w:p>
    <w:p w:rsidR="009B283D" w:rsidRDefault="009B283D" w:rsidP="00AC564C">
      <w:pPr>
        <w:spacing w:after="0"/>
        <w:jc w:val="center"/>
        <w:rPr>
          <w:rFonts w:cs="Arial"/>
          <w:bCs/>
          <w:sz w:val="16"/>
          <w:szCs w:val="16"/>
          <w:shd w:val="clear" w:color="auto" w:fill="FFFFFF"/>
        </w:rPr>
      </w:pPr>
      <w:r w:rsidRPr="009B283D">
        <w:rPr>
          <w:rFonts w:cs="Arial"/>
          <w:bCs/>
          <w:sz w:val="16"/>
          <w:szCs w:val="16"/>
          <w:shd w:val="clear" w:color="auto" w:fill="FFFFFF"/>
        </w:rPr>
        <w:t>TAV. 11</w:t>
      </w:r>
      <w:r>
        <w:rPr>
          <w:rFonts w:cs="Arial"/>
          <w:bCs/>
          <w:sz w:val="16"/>
          <w:szCs w:val="16"/>
          <w:shd w:val="clear" w:color="auto" w:fill="FFFFFF"/>
        </w:rPr>
        <w:t xml:space="preserve">. 1 </w:t>
      </w:r>
      <w:r w:rsidRPr="009B283D">
        <w:rPr>
          <w:rFonts w:cs="Arial"/>
          <w:bCs/>
          <w:sz w:val="16"/>
          <w:szCs w:val="16"/>
          <w:shd w:val="clear" w:color="auto" w:fill="FFFFFF"/>
        </w:rPr>
        <w:t xml:space="preserve"> modalità di comunicazione </w:t>
      </w:r>
      <w:r>
        <w:rPr>
          <w:rFonts w:cs="Arial"/>
          <w:bCs/>
          <w:sz w:val="16"/>
          <w:szCs w:val="16"/>
          <w:shd w:val="clear" w:color="auto" w:fill="FFFFFF"/>
        </w:rPr>
        <w:t xml:space="preserve"> I ciclo II ciclo</w:t>
      </w:r>
      <w:r w:rsidRPr="009B283D">
        <w:rPr>
          <w:rFonts w:cs="Arial"/>
          <w:bCs/>
          <w:sz w:val="16"/>
          <w:szCs w:val="16"/>
          <w:shd w:val="clear" w:color="auto" w:fill="FFFFFF"/>
        </w:rPr>
        <w:t>– valori in percentuale</w:t>
      </w:r>
    </w:p>
    <w:p w:rsidR="009B283D" w:rsidRDefault="004039B7" w:rsidP="009B283D">
      <w:pPr>
        <w:jc w:val="center"/>
        <w:rPr>
          <w:rFonts w:cs="Arial"/>
          <w:bCs/>
          <w:sz w:val="16"/>
          <w:szCs w:val="16"/>
          <w:shd w:val="clear" w:color="auto" w:fill="FFFFFF"/>
        </w:rPr>
      </w:pPr>
      <w:r>
        <w:rPr>
          <w:noProof/>
          <w:lang w:eastAsia="it-IT"/>
        </w:rPr>
        <w:drawing>
          <wp:inline distT="0" distB="0" distL="0" distR="0">
            <wp:extent cx="4572000" cy="2639683"/>
            <wp:effectExtent l="0" t="0" r="19050" b="27940"/>
            <wp:docPr id="21" name="Gra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155D8" w:rsidRDefault="002155D8" w:rsidP="008D6CC7">
      <w:pPr>
        <w:jc w:val="both"/>
        <w:rPr>
          <w:sz w:val="16"/>
          <w:szCs w:val="16"/>
        </w:rPr>
      </w:pPr>
    </w:p>
    <w:p w:rsidR="000263BF" w:rsidRDefault="000263BF" w:rsidP="008D6CC7">
      <w:pPr>
        <w:jc w:val="both"/>
      </w:pPr>
    </w:p>
    <w:p w:rsidR="008D6CC7" w:rsidRDefault="008D6CC7" w:rsidP="008D6CC7">
      <w:pPr>
        <w:jc w:val="both"/>
        <w:rPr>
          <w:b/>
        </w:rPr>
      </w:pPr>
      <w:r>
        <w:t xml:space="preserve">Al termine della scheda di rilevazione si chiede </w:t>
      </w:r>
      <w:r w:rsidR="005875DC">
        <w:t>la disponibilità dell’istituzione</w:t>
      </w:r>
      <w:r>
        <w:t xml:space="preserve"> scolastica a</w:t>
      </w:r>
      <w:r w:rsidR="00D03A3B">
        <w:t xml:space="preserve"> </w:t>
      </w:r>
      <w:r w:rsidR="00D03A3B" w:rsidRPr="00D03A3B">
        <w:rPr>
          <w:b/>
        </w:rPr>
        <w:t>partecipare alla documentazione delle buone pratiche</w:t>
      </w:r>
      <w:r w:rsidR="00D03A3B">
        <w:t xml:space="preserve"> </w:t>
      </w:r>
      <w:r w:rsidR="00D03A3B" w:rsidRPr="00D03A3B">
        <w:rPr>
          <w:b/>
        </w:rPr>
        <w:t xml:space="preserve">per la valorizzazione del merito promossa da </w:t>
      </w:r>
      <w:r w:rsidRPr="00D03A3B">
        <w:rPr>
          <w:b/>
        </w:rPr>
        <w:t>INDIRE</w:t>
      </w:r>
      <w:r w:rsidR="00D03A3B">
        <w:rPr>
          <w:b/>
        </w:rPr>
        <w:t xml:space="preserve">: </w:t>
      </w:r>
    </w:p>
    <w:p w:rsidR="008D6CC7" w:rsidRPr="008D6CC7" w:rsidRDefault="008D6CC7" w:rsidP="008D6CC7">
      <w:pPr>
        <w:pStyle w:val="Paragrafoelenco"/>
        <w:numPr>
          <w:ilvl w:val="0"/>
          <w:numId w:val="3"/>
        </w:numPr>
        <w:jc w:val="both"/>
      </w:pPr>
      <w:r w:rsidRPr="008D6CC7">
        <w:t>35</w:t>
      </w:r>
      <w:r w:rsidR="004039B7">
        <w:t>,6</w:t>
      </w:r>
      <w:r w:rsidRPr="008D6CC7">
        <w:t>% disponibilità del campione</w:t>
      </w:r>
    </w:p>
    <w:p w:rsidR="008D6CC7" w:rsidRPr="008D6CC7" w:rsidRDefault="008D6CC7" w:rsidP="008D6CC7">
      <w:pPr>
        <w:pStyle w:val="Paragrafoelenco"/>
        <w:numPr>
          <w:ilvl w:val="0"/>
          <w:numId w:val="3"/>
        </w:numPr>
        <w:jc w:val="both"/>
      </w:pPr>
      <w:r>
        <w:t>d</w:t>
      </w:r>
      <w:r w:rsidR="004039B7">
        <w:t>i cui 30,8</w:t>
      </w:r>
      <w:r w:rsidRPr="008D6CC7">
        <w:t>%  I ciclo</w:t>
      </w:r>
    </w:p>
    <w:p w:rsidR="008D6CC7" w:rsidRDefault="008D6CC7" w:rsidP="008D6CC7">
      <w:pPr>
        <w:pStyle w:val="Paragrafoelenco"/>
        <w:numPr>
          <w:ilvl w:val="0"/>
          <w:numId w:val="3"/>
        </w:numPr>
        <w:jc w:val="both"/>
      </w:pPr>
      <w:r>
        <w:t>d</w:t>
      </w:r>
      <w:r w:rsidR="004039B7">
        <w:t xml:space="preserve">i cui </w:t>
      </w:r>
      <w:r w:rsidR="00603217">
        <w:t xml:space="preserve">45,9% </w:t>
      </w:r>
      <w:r w:rsidRPr="008D6CC7">
        <w:t xml:space="preserve"> II ciclo </w:t>
      </w:r>
    </w:p>
    <w:p w:rsidR="00256786" w:rsidRDefault="00256786" w:rsidP="00256786"/>
    <w:p w:rsidR="00256786" w:rsidRDefault="00256786" w:rsidP="00256786">
      <w:pPr>
        <w:spacing w:line="360" w:lineRule="auto"/>
        <w:jc w:val="both"/>
      </w:pPr>
      <w:r>
        <w:lastRenderedPageBreak/>
        <w:t xml:space="preserve">Sul totale del campione 60 istituzioni scolastiche hanno allegato </w:t>
      </w:r>
      <w:r w:rsidR="00D03A3B">
        <w:t xml:space="preserve">la documentazione </w:t>
      </w:r>
      <w:r>
        <w:t>relativa</w:t>
      </w:r>
      <w:r w:rsidR="00D03A3B">
        <w:t xml:space="preserve"> alla distribuzione del bonus</w:t>
      </w:r>
      <w:r>
        <w:t>. Il grafico illustra i punteggi per ordine:</w:t>
      </w:r>
    </w:p>
    <w:p w:rsidR="00256786" w:rsidRPr="00256786" w:rsidRDefault="00256786" w:rsidP="00256786">
      <w:pPr>
        <w:spacing w:after="0" w:line="360" w:lineRule="auto"/>
        <w:jc w:val="center"/>
        <w:rPr>
          <w:sz w:val="16"/>
          <w:szCs w:val="16"/>
        </w:rPr>
      </w:pPr>
      <w:r w:rsidRPr="002D6C4C">
        <w:rPr>
          <w:sz w:val="16"/>
          <w:szCs w:val="16"/>
        </w:rPr>
        <w:t>TAV. 5 documentazione allegata – valori in percent</w:t>
      </w:r>
      <w:r>
        <w:rPr>
          <w:sz w:val="16"/>
          <w:szCs w:val="16"/>
        </w:rPr>
        <w:t>uale</w:t>
      </w:r>
    </w:p>
    <w:p w:rsidR="00256786" w:rsidRDefault="00256786" w:rsidP="00256786">
      <w:pPr>
        <w:pStyle w:val="Paragrafoelenco"/>
        <w:jc w:val="center"/>
      </w:pPr>
      <w:r>
        <w:rPr>
          <w:noProof/>
          <w:lang w:eastAsia="it-IT"/>
        </w:rPr>
        <w:drawing>
          <wp:inline distT="0" distB="0" distL="0" distR="0">
            <wp:extent cx="4002657" cy="2260121"/>
            <wp:effectExtent l="0" t="0" r="17145" b="26035"/>
            <wp:docPr id="11" name="Gra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E595F" w:rsidRDefault="000E595F" w:rsidP="000E595F">
      <w:pPr>
        <w:jc w:val="both"/>
      </w:pPr>
    </w:p>
    <w:p w:rsidR="000E595F" w:rsidRDefault="000E595F" w:rsidP="000E595F">
      <w:pPr>
        <w:spacing w:line="360" w:lineRule="auto"/>
        <w:jc w:val="both"/>
      </w:pPr>
      <w:r>
        <w:t>Entrando nel  merito dei criteri adottati delle scuole, attraverso una lettura qualitativa dei materiali prodotti, si nota che oltre il 50% di  quelle campionate ha esplicitamente previsto alcuni requisiti di accesso al fondo per la valorizzazione, riconducibili fondamentalmente a tre aspetti:</w:t>
      </w:r>
    </w:p>
    <w:p w:rsidR="000E595F" w:rsidRDefault="000E595F" w:rsidP="000E595F">
      <w:pPr>
        <w:pStyle w:val="Paragrafoelenco"/>
        <w:numPr>
          <w:ilvl w:val="0"/>
          <w:numId w:val="9"/>
        </w:numPr>
        <w:spacing w:line="360" w:lineRule="auto"/>
        <w:jc w:val="both"/>
      </w:pPr>
      <w:r>
        <w:t xml:space="preserve">il non aver superato una certa soglia di assenza dal servizio e/o dagli impegni collegiali, </w:t>
      </w:r>
      <w:r w:rsidR="00F91587">
        <w:t>variamente</w:t>
      </w:r>
      <w:r>
        <w:t xml:space="preserve"> individuat</w:t>
      </w:r>
      <w:r w:rsidR="00EB6059">
        <w:t>a</w:t>
      </w:r>
      <w:r w:rsidR="00F91587">
        <w:t xml:space="preserve">, ma comunque </w:t>
      </w:r>
      <w:r w:rsidR="005113A0">
        <w:t>mai</w:t>
      </w:r>
      <w:r w:rsidR="00F91587">
        <w:t xml:space="preserve"> superiore</w:t>
      </w:r>
      <w:r>
        <w:t xml:space="preserve"> al </w:t>
      </w:r>
      <w:r w:rsidRPr="00AD3E1E">
        <w:t>20%</w:t>
      </w:r>
      <w:r>
        <w:t xml:space="preserve"> dei giorni di lezione</w:t>
      </w:r>
    </w:p>
    <w:p w:rsidR="00F91587" w:rsidRDefault="000E595F" w:rsidP="000E595F">
      <w:pPr>
        <w:pStyle w:val="Paragrafoelenco"/>
        <w:numPr>
          <w:ilvl w:val="0"/>
          <w:numId w:val="9"/>
        </w:numPr>
        <w:spacing w:line="360" w:lineRule="auto"/>
        <w:jc w:val="both"/>
      </w:pPr>
      <w:r>
        <w:t xml:space="preserve">l’assenza di provvedimenti disciplinari </w:t>
      </w:r>
      <w:proofErr w:type="spellStart"/>
      <w:r w:rsidR="005113A0">
        <w:t>nell’a.s.</w:t>
      </w:r>
      <w:proofErr w:type="spellEnd"/>
      <w:r w:rsidR="005113A0">
        <w:t xml:space="preserve"> in corso (e spesso anche nei tre precedenti)</w:t>
      </w:r>
    </w:p>
    <w:p w:rsidR="000E595F" w:rsidRDefault="00F91587" w:rsidP="000E595F">
      <w:pPr>
        <w:pStyle w:val="Paragrafoelenco"/>
        <w:numPr>
          <w:ilvl w:val="0"/>
          <w:numId w:val="9"/>
        </w:numPr>
        <w:spacing w:line="360" w:lineRule="auto"/>
        <w:jc w:val="both"/>
      </w:pPr>
      <w:r>
        <w:t>il puntuale adempimento</w:t>
      </w:r>
      <w:r w:rsidR="000E595F">
        <w:t xml:space="preserve"> degli obblighi di servizio</w:t>
      </w:r>
      <w:r>
        <w:t xml:space="preserve"> e dei doveri individuali</w:t>
      </w:r>
      <w:r w:rsidR="000E595F">
        <w:t>.</w:t>
      </w:r>
    </w:p>
    <w:p w:rsidR="000E595F" w:rsidRDefault="00AD3E1E" w:rsidP="000E595F">
      <w:pPr>
        <w:spacing w:line="360" w:lineRule="auto"/>
        <w:jc w:val="both"/>
      </w:pPr>
      <w:r>
        <w:t xml:space="preserve">Per </w:t>
      </w:r>
      <w:r w:rsidRPr="00CE1F3F">
        <w:t>definire la ripartizione del bonus</w:t>
      </w:r>
      <w:r>
        <w:t xml:space="preserve"> e individuare i docenti cui a</w:t>
      </w:r>
      <w:r w:rsidR="0028448A">
        <w:t>ssegna</w:t>
      </w:r>
      <w:r>
        <w:t xml:space="preserve">rlo, circa la metà  delle scuole  </w:t>
      </w:r>
      <w:r w:rsidR="000E595F" w:rsidRPr="00CE1F3F">
        <w:t>ha adottato la modalità di attribuire un punteggio alle varie voci previste, quasi una sorta di “pesatura”  del merito,</w:t>
      </w:r>
      <w:r>
        <w:t xml:space="preserve"> e spesso ha provveduto a definire indicatori specifici per le varie voci e le evidenze a cui fare riferimento</w:t>
      </w:r>
      <w:r w:rsidR="000E595F" w:rsidRPr="00CE1F3F">
        <w:t xml:space="preserve">. </w:t>
      </w:r>
    </w:p>
    <w:tbl>
      <w:tblPr>
        <w:tblStyle w:val="Grigliatabella"/>
        <w:tblW w:w="5000" w:type="pct"/>
        <w:tblLook w:val="04A0" w:firstRow="1" w:lastRow="0" w:firstColumn="1" w:lastColumn="0" w:noHBand="0" w:noVBand="1"/>
      </w:tblPr>
      <w:tblGrid>
        <w:gridCol w:w="6630"/>
        <w:gridCol w:w="1133"/>
        <w:gridCol w:w="991"/>
        <w:gridCol w:w="1100"/>
      </w:tblGrid>
      <w:tr w:rsidR="000E595F" w:rsidRPr="00992B38" w:rsidTr="000A05D0">
        <w:tc>
          <w:tcPr>
            <w:tcW w:w="3364" w:type="pct"/>
          </w:tcPr>
          <w:p w:rsidR="000E595F" w:rsidRPr="00992B38" w:rsidRDefault="000E595F" w:rsidP="000A05D0">
            <w:pPr>
              <w:jc w:val="both"/>
              <w:rPr>
                <w:sz w:val="18"/>
                <w:szCs w:val="18"/>
              </w:rPr>
            </w:pPr>
            <w:r>
              <w:rPr>
                <w:sz w:val="18"/>
                <w:szCs w:val="18"/>
              </w:rPr>
              <w:t>FORMALIZZAZIONE</w:t>
            </w:r>
          </w:p>
        </w:tc>
        <w:tc>
          <w:tcPr>
            <w:tcW w:w="575" w:type="pct"/>
          </w:tcPr>
          <w:p w:rsidR="000E595F" w:rsidRPr="00992B38" w:rsidRDefault="000E595F" w:rsidP="000A05D0">
            <w:pPr>
              <w:jc w:val="center"/>
              <w:rPr>
                <w:sz w:val="18"/>
                <w:szCs w:val="18"/>
              </w:rPr>
            </w:pPr>
            <w:r w:rsidRPr="00992B38">
              <w:rPr>
                <w:sz w:val="18"/>
                <w:szCs w:val="18"/>
              </w:rPr>
              <w:t>Globale</w:t>
            </w:r>
          </w:p>
        </w:tc>
        <w:tc>
          <w:tcPr>
            <w:tcW w:w="503" w:type="pct"/>
          </w:tcPr>
          <w:p w:rsidR="000E595F" w:rsidRPr="00992B38" w:rsidRDefault="000E595F" w:rsidP="000A05D0">
            <w:pPr>
              <w:jc w:val="center"/>
              <w:rPr>
                <w:sz w:val="18"/>
                <w:szCs w:val="18"/>
              </w:rPr>
            </w:pPr>
            <w:r w:rsidRPr="00992B38">
              <w:rPr>
                <w:sz w:val="18"/>
                <w:szCs w:val="18"/>
              </w:rPr>
              <w:t>I ciclo</w:t>
            </w:r>
          </w:p>
        </w:tc>
        <w:tc>
          <w:tcPr>
            <w:tcW w:w="558" w:type="pct"/>
          </w:tcPr>
          <w:p w:rsidR="000E595F" w:rsidRPr="00992B38" w:rsidRDefault="000E595F" w:rsidP="000A05D0">
            <w:pPr>
              <w:jc w:val="center"/>
              <w:rPr>
                <w:sz w:val="18"/>
                <w:szCs w:val="18"/>
              </w:rPr>
            </w:pPr>
            <w:r w:rsidRPr="00992B38">
              <w:rPr>
                <w:sz w:val="18"/>
                <w:szCs w:val="18"/>
              </w:rPr>
              <w:t>II  ciclo</w:t>
            </w:r>
          </w:p>
        </w:tc>
      </w:tr>
      <w:tr w:rsidR="000E595F" w:rsidRPr="00992B38" w:rsidTr="000A05D0">
        <w:tc>
          <w:tcPr>
            <w:tcW w:w="3364" w:type="pct"/>
          </w:tcPr>
          <w:p w:rsidR="000E595F" w:rsidRPr="00992B38" w:rsidRDefault="000E595F" w:rsidP="000A05D0">
            <w:pPr>
              <w:jc w:val="both"/>
              <w:rPr>
                <w:sz w:val="18"/>
                <w:szCs w:val="18"/>
              </w:rPr>
            </w:pPr>
            <w:r w:rsidRPr="00992B38">
              <w:rPr>
                <w:sz w:val="18"/>
                <w:szCs w:val="18"/>
              </w:rPr>
              <w:t>requisiti d'accesso</w:t>
            </w:r>
          </w:p>
        </w:tc>
        <w:tc>
          <w:tcPr>
            <w:tcW w:w="575" w:type="pct"/>
          </w:tcPr>
          <w:p w:rsidR="000E595F" w:rsidRPr="00992B38" w:rsidRDefault="000E595F" w:rsidP="000A05D0">
            <w:pPr>
              <w:jc w:val="center"/>
              <w:rPr>
                <w:sz w:val="18"/>
                <w:szCs w:val="18"/>
              </w:rPr>
            </w:pPr>
            <w:r>
              <w:rPr>
                <w:sz w:val="18"/>
                <w:szCs w:val="18"/>
              </w:rPr>
              <w:t>55,7</w:t>
            </w:r>
          </w:p>
        </w:tc>
        <w:tc>
          <w:tcPr>
            <w:tcW w:w="503" w:type="pct"/>
          </w:tcPr>
          <w:p w:rsidR="000E595F" w:rsidRPr="00992B38" w:rsidRDefault="000E595F" w:rsidP="000A05D0">
            <w:pPr>
              <w:jc w:val="center"/>
              <w:rPr>
                <w:sz w:val="18"/>
                <w:szCs w:val="18"/>
              </w:rPr>
            </w:pPr>
            <w:r>
              <w:rPr>
                <w:sz w:val="18"/>
                <w:szCs w:val="18"/>
              </w:rPr>
              <w:t>59</w:t>
            </w:r>
          </w:p>
        </w:tc>
        <w:tc>
          <w:tcPr>
            <w:tcW w:w="558" w:type="pct"/>
          </w:tcPr>
          <w:p w:rsidR="000E595F" w:rsidRPr="00992B38" w:rsidRDefault="000E595F" w:rsidP="000A05D0">
            <w:pPr>
              <w:jc w:val="center"/>
              <w:rPr>
                <w:sz w:val="18"/>
                <w:szCs w:val="18"/>
              </w:rPr>
            </w:pPr>
            <w:r>
              <w:rPr>
                <w:sz w:val="18"/>
                <w:szCs w:val="18"/>
              </w:rPr>
              <w:t>48,7</w:t>
            </w:r>
          </w:p>
        </w:tc>
      </w:tr>
      <w:tr w:rsidR="000E595F" w:rsidRPr="00992B38" w:rsidTr="000A05D0">
        <w:tc>
          <w:tcPr>
            <w:tcW w:w="3364" w:type="pct"/>
          </w:tcPr>
          <w:p w:rsidR="000E595F" w:rsidRPr="00992B38" w:rsidRDefault="000E595F" w:rsidP="000A05D0">
            <w:pPr>
              <w:jc w:val="both"/>
              <w:rPr>
                <w:sz w:val="18"/>
                <w:szCs w:val="18"/>
              </w:rPr>
            </w:pPr>
            <w:r w:rsidRPr="00992B38">
              <w:rPr>
                <w:sz w:val="18"/>
                <w:szCs w:val="18"/>
              </w:rPr>
              <w:t>assegnazione di punt</w:t>
            </w:r>
            <w:r>
              <w:rPr>
                <w:sz w:val="18"/>
                <w:szCs w:val="18"/>
              </w:rPr>
              <w:t>e</w:t>
            </w:r>
            <w:r w:rsidRPr="00992B38">
              <w:rPr>
                <w:sz w:val="18"/>
                <w:szCs w:val="18"/>
              </w:rPr>
              <w:t>ggio per le varie voci</w:t>
            </w:r>
          </w:p>
        </w:tc>
        <w:tc>
          <w:tcPr>
            <w:tcW w:w="575" w:type="pct"/>
          </w:tcPr>
          <w:p w:rsidR="000E595F" w:rsidRPr="00992B38" w:rsidRDefault="000E595F" w:rsidP="000A05D0">
            <w:pPr>
              <w:jc w:val="center"/>
              <w:rPr>
                <w:sz w:val="18"/>
                <w:szCs w:val="18"/>
              </w:rPr>
            </w:pPr>
            <w:r>
              <w:rPr>
                <w:sz w:val="18"/>
                <w:szCs w:val="18"/>
              </w:rPr>
              <w:t>41</w:t>
            </w:r>
          </w:p>
        </w:tc>
        <w:tc>
          <w:tcPr>
            <w:tcW w:w="503" w:type="pct"/>
          </w:tcPr>
          <w:p w:rsidR="000E595F" w:rsidRPr="00992B38" w:rsidRDefault="000E595F" w:rsidP="000A05D0">
            <w:pPr>
              <w:jc w:val="center"/>
              <w:rPr>
                <w:sz w:val="18"/>
                <w:szCs w:val="18"/>
              </w:rPr>
            </w:pPr>
            <w:r>
              <w:rPr>
                <w:sz w:val="18"/>
                <w:szCs w:val="18"/>
              </w:rPr>
              <w:t>42,2</w:t>
            </w:r>
          </w:p>
        </w:tc>
        <w:tc>
          <w:tcPr>
            <w:tcW w:w="558" w:type="pct"/>
            <w:shd w:val="clear" w:color="auto" w:fill="auto"/>
          </w:tcPr>
          <w:p w:rsidR="000E595F" w:rsidRPr="00992B38" w:rsidRDefault="000E595F" w:rsidP="000A05D0">
            <w:pPr>
              <w:jc w:val="center"/>
              <w:rPr>
                <w:sz w:val="18"/>
                <w:szCs w:val="18"/>
              </w:rPr>
            </w:pPr>
            <w:r>
              <w:rPr>
                <w:sz w:val="18"/>
                <w:szCs w:val="18"/>
              </w:rPr>
              <w:t>38,5</w:t>
            </w:r>
          </w:p>
        </w:tc>
      </w:tr>
    </w:tbl>
    <w:p w:rsidR="000E595F" w:rsidRDefault="000E595F" w:rsidP="000E595F">
      <w:pPr>
        <w:jc w:val="both"/>
      </w:pPr>
    </w:p>
    <w:p w:rsidR="00EF71F9" w:rsidRDefault="00B4171B" w:rsidP="008151DE">
      <w:pPr>
        <w:spacing w:line="360" w:lineRule="auto"/>
        <w:jc w:val="both"/>
      </w:pPr>
      <w:r w:rsidRPr="00313C35">
        <w:t>Dalla lettura dei criteri adottati dalle scuole, emerge che per rendere più esplicite le azioni valutative ai fini dell’attribuzione del bonus, i “macro criteri” (criteri A, B e C)</w:t>
      </w:r>
      <w:r w:rsidR="005113A0">
        <w:t xml:space="preserve"> sono stati suddivisi</w:t>
      </w:r>
      <w:r w:rsidR="005E7D2A">
        <w:t xml:space="preserve"> in sotto aree e</w:t>
      </w:r>
      <w:r w:rsidR="00EF71F9">
        <w:t>, nella definizione puntuale delle azioni oggetto di valorizzazione, le scuole hanno fatto specifico riferimento alle attività effettivamente svolte all’interno dell’istituzione scolastica, dettagliate in modo puntuale e circostanziato.</w:t>
      </w:r>
    </w:p>
    <w:p w:rsidR="005B6DA5" w:rsidRDefault="008F0866" w:rsidP="008151DE">
      <w:pPr>
        <w:spacing w:line="360" w:lineRule="auto"/>
        <w:jc w:val="both"/>
      </w:pPr>
      <w:r w:rsidRPr="008151DE">
        <w:lastRenderedPageBreak/>
        <w:t>Per quanto riguarda il c</w:t>
      </w:r>
      <w:r w:rsidR="008151DE">
        <w:t>riterio A</w:t>
      </w:r>
      <w:r w:rsidR="00AE7F16">
        <w:t>,  gli aspetti relativi al miglioramento dell’istituzione scolastica,</w:t>
      </w:r>
      <w:r w:rsidRPr="008151DE">
        <w:t xml:space="preserve"> </w:t>
      </w:r>
      <w:r w:rsidR="00AE7F16">
        <w:t>sia nel</w:t>
      </w:r>
      <w:r w:rsidRPr="008151DE">
        <w:t xml:space="preserve">le istituzioni del I ciclo </w:t>
      </w:r>
      <w:r w:rsidR="00AE7F16">
        <w:t>sia in quelle del II ciclo, hanno premiato in modo particolarmente evidente le attività relative all’</w:t>
      </w:r>
      <w:r w:rsidRPr="008151DE">
        <w:t>elaborazione</w:t>
      </w:r>
      <w:r w:rsidR="00AE7F16">
        <w:t xml:space="preserve"> del </w:t>
      </w:r>
      <w:r w:rsidRPr="008151DE">
        <w:t>PTOF,</w:t>
      </w:r>
      <w:r w:rsidR="00AE7F16">
        <w:t xml:space="preserve">  del </w:t>
      </w:r>
      <w:r w:rsidRPr="008151DE">
        <w:t>RAV</w:t>
      </w:r>
      <w:r w:rsidR="00AE7F16">
        <w:t xml:space="preserve"> e alla redazione del </w:t>
      </w:r>
      <w:r w:rsidRPr="008151DE">
        <w:t>PDM</w:t>
      </w:r>
      <w:r w:rsidR="005B6DA5">
        <w:t>. Molto considerata è anche la partecipazione</w:t>
      </w:r>
      <w:r w:rsidR="005113A0">
        <w:t>,</w:t>
      </w:r>
      <w:r w:rsidR="005B6DA5">
        <w:t xml:space="preserve"> su iniziativa dei  singoli docenti</w:t>
      </w:r>
      <w:r w:rsidR="005113A0">
        <w:t>,</w:t>
      </w:r>
      <w:r w:rsidR="005B6DA5">
        <w:t xml:space="preserve"> a iniziative di formazione, soprattutto </w:t>
      </w:r>
      <w:r w:rsidR="005113A0">
        <w:t xml:space="preserve">se </w:t>
      </w:r>
      <w:r w:rsidR="005B6DA5">
        <w:t xml:space="preserve">effettuate all’esterno della scuola. </w:t>
      </w:r>
      <w:r w:rsidRPr="008151DE">
        <w:t xml:space="preserve"> </w:t>
      </w:r>
      <w:r w:rsidR="005B6DA5">
        <w:t>In questa categori</w:t>
      </w:r>
      <w:r w:rsidR="005113A0">
        <w:t>a</w:t>
      </w:r>
      <w:r w:rsidR="005B6DA5">
        <w:t xml:space="preserve"> rientrano anche frequentemente le attività in rete e in generale le iniziative che   promuovono l’immagine e  la visibilità della scuola </w:t>
      </w:r>
      <w:r w:rsidR="005113A0">
        <w:t xml:space="preserve">verso </w:t>
      </w:r>
      <w:r w:rsidR="005B6DA5">
        <w:t xml:space="preserve">l’esterno. </w:t>
      </w:r>
    </w:p>
    <w:p w:rsidR="005B6DA5" w:rsidRDefault="005B6DA5" w:rsidP="008151DE">
      <w:pPr>
        <w:spacing w:line="360" w:lineRule="auto"/>
        <w:jc w:val="both"/>
      </w:pPr>
      <w:r>
        <w:t>Per quant</w:t>
      </w:r>
      <w:r w:rsidR="005113A0">
        <w:t>o</w:t>
      </w:r>
      <w:r>
        <w:t xml:space="preserve"> riguarda gli aspetti connessi al “micro-criterio” </w:t>
      </w:r>
      <w:r w:rsidR="005113A0">
        <w:t xml:space="preserve">del </w:t>
      </w:r>
      <w:r>
        <w:t xml:space="preserve">contributo al successo formativo e scolastico degli studenti, molte scuole, particolarmente nel I ciclo, </w:t>
      </w:r>
      <w:r w:rsidR="005E7D2A">
        <w:t>hanno decis</w:t>
      </w:r>
      <w:r>
        <w:t xml:space="preserve">o di  premiare le attività volte a favorire e supportare l’inclusione. Grande interesse </w:t>
      </w:r>
      <w:r w:rsidR="005E7D2A">
        <w:t>è andato</w:t>
      </w:r>
      <w:r>
        <w:t xml:space="preserve"> anche all’aspetto del “potenziamento”, realizzato attraverso  iniziative di ampliamento dell’offerta formativa e di recupero.</w:t>
      </w:r>
    </w:p>
    <w:p w:rsidR="005B6DA5" w:rsidRDefault="005B6DA5" w:rsidP="008151DE">
      <w:pPr>
        <w:spacing w:line="360" w:lineRule="auto"/>
        <w:jc w:val="both"/>
      </w:pPr>
      <w:r>
        <w:t>L’aspetto più critico dal punto di vista dell</w:t>
      </w:r>
      <w:r w:rsidR="00A437E9">
        <w:t>’individuazione dell</w:t>
      </w:r>
      <w:r>
        <w:t xml:space="preserve">e evidenze </w:t>
      </w:r>
      <w:r w:rsidR="00A437E9">
        <w:t xml:space="preserve">da raccogliere e degli indicatori da considerare è senza dubbio  quello della “qualità  dell’insegnamento”. Le scuole hanno dato la  preferenza agli aspetti della personalizzazione dell’insegnamento, dello sviluppo di una didattica </w:t>
      </w:r>
      <w:r w:rsidR="005113A0">
        <w:t>per</w:t>
      </w:r>
      <w:r w:rsidR="00A437E9">
        <w:t xml:space="preserve"> competenze e della capacità di instaurare e mantenere rapporti di collaborazione con le famiglie. Un numero significativo di scuole si è cimentato anche </w:t>
      </w:r>
      <w:r>
        <w:t xml:space="preserve"> </w:t>
      </w:r>
      <w:r w:rsidR="00A437E9">
        <w:t>con il compito di valutare l’”e</w:t>
      </w:r>
      <w:r w:rsidR="00A81422">
        <w:t xml:space="preserve">fficacia didattica” e alcune (11 </w:t>
      </w:r>
      <w:r w:rsidR="00A437E9">
        <w:t xml:space="preserve">scuole del campione,  </w:t>
      </w:r>
      <w:r w:rsidR="00A81422">
        <w:t>pari al 9,3% dell’intero campione e al 28,2% degli istituti superiori monitorati</w:t>
      </w:r>
      <w:r w:rsidR="00A437E9">
        <w:t>) hanno tentato la strada del questionario somministrato agli studenti</w:t>
      </w:r>
      <w:r w:rsidR="00A81422">
        <w:t>.</w:t>
      </w:r>
      <w:r w:rsidR="00A81422">
        <w:rPr>
          <w:rStyle w:val="Rimandonotaapidipagina"/>
        </w:rPr>
        <w:footnoteReference w:id="9"/>
      </w:r>
    </w:p>
    <w:p w:rsidR="00E7316E" w:rsidRDefault="00A634F4" w:rsidP="005113D7">
      <w:pPr>
        <w:spacing w:after="0"/>
        <w:jc w:val="both"/>
        <w:rPr>
          <w:sz w:val="18"/>
          <w:szCs w:val="18"/>
        </w:rPr>
      </w:pPr>
      <w:r w:rsidRPr="004E23CC">
        <w:rPr>
          <w:sz w:val="18"/>
          <w:szCs w:val="18"/>
        </w:rPr>
        <w:t>CRITERIO A:  qualità dell'insegnamento e del contributo al miglioramento dell'istituzione scolastica, nonché del successo formati</w:t>
      </w:r>
      <w:r w:rsidR="005113D7">
        <w:rPr>
          <w:sz w:val="18"/>
          <w:szCs w:val="18"/>
        </w:rPr>
        <w:t>vo e scolastico degli studenti</w:t>
      </w:r>
    </w:p>
    <w:p w:rsidR="00EE2C74" w:rsidRPr="00AA7039" w:rsidRDefault="00EE2C74" w:rsidP="005113D7">
      <w:pPr>
        <w:spacing w:after="0"/>
        <w:jc w:val="both"/>
        <w:rPr>
          <w:sz w:val="18"/>
          <w:szCs w:val="18"/>
        </w:rPr>
      </w:pPr>
    </w:p>
    <w:tbl>
      <w:tblPr>
        <w:tblStyle w:val="Grigliatabella"/>
        <w:tblW w:w="5000" w:type="pct"/>
        <w:tblLook w:val="04A0" w:firstRow="1" w:lastRow="0" w:firstColumn="1" w:lastColumn="0" w:noHBand="0" w:noVBand="1"/>
      </w:tblPr>
      <w:tblGrid>
        <w:gridCol w:w="6631"/>
        <w:gridCol w:w="1121"/>
        <w:gridCol w:w="985"/>
        <w:gridCol w:w="1117"/>
      </w:tblGrid>
      <w:tr w:rsidR="00A634F4" w:rsidRPr="00A634F4" w:rsidTr="002D5355">
        <w:tc>
          <w:tcPr>
            <w:tcW w:w="3364" w:type="pct"/>
          </w:tcPr>
          <w:p w:rsidR="00A634F4" w:rsidRPr="00A634F4" w:rsidRDefault="00AA7039" w:rsidP="00A634F4">
            <w:pPr>
              <w:jc w:val="both"/>
              <w:rPr>
                <w:sz w:val="18"/>
                <w:szCs w:val="18"/>
              </w:rPr>
            </w:pPr>
            <w:r w:rsidRPr="009049C2">
              <w:rPr>
                <w:sz w:val="18"/>
                <w:szCs w:val="18"/>
              </w:rPr>
              <w:t>MIGLI</w:t>
            </w:r>
            <w:r>
              <w:rPr>
                <w:sz w:val="18"/>
                <w:szCs w:val="18"/>
              </w:rPr>
              <w:t>ORAMENTO DELL’ISTITUZIONE SCOLASTICA</w:t>
            </w:r>
          </w:p>
        </w:tc>
        <w:tc>
          <w:tcPr>
            <w:tcW w:w="569" w:type="pct"/>
          </w:tcPr>
          <w:p w:rsidR="00A634F4" w:rsidRPr="00A634F4" w:rsidRDefault="009049C2" w:rsidP="009049C2">
            <w:pPr>
              <w:jc w:val="center"/>
              <w:rPr>
                <w:sz w:val="18"/>
                <w:szCs w:val="18"/>
              </w:rPr>
            </w:pPr>
            <w:r>
              <w:rPr>
                <w:sz w:val="18"/>
                <w:szCs w:val="18"/>
              </w:rPr>
              <w:t>Globale</w:t>
            </w:r>
          </w:p>
        </w:tc>
        <w:tc>
          <w:tcPr>
            <w:tcW w:w="500" w:type="pct"/>
          </w:tcPr>
          <w:p w:rsidR="00A634F4" w:rsidRPr="00A634F4" w:rsidRDefault="009049C2" w:rsidP="009049C2">
            <w:pPr>
              <w:jc w:val="center"/>
              <w:rPr>
                <w:sz w:val="18"/>
                <w:szCs w:val="18"/>
              </w:rPr>
            </w:pPr>
            <w:r>
              <w:rPr>
                <w:sz w:val="18"/>
                <w:szCs w:val="18"/>
              </w:rPr>
              <w:t>I ciclo</w:t>
            </w:r>
          </w:p>
        </w:tc>
        <w:tc>
          <w:tcPr>
            <w:tcW w:w="568" w:type="pct"/>
          </w:tcPr>
          <w:p w:rsidR="00A634F4" w:rsidRPr="00A634F4" w:rsidRDefault="009049C2" w:rsidP="009049C2">
            <w:pPr>
              <w:jc w:val="center"/>
              <w:rPr>
                <w:sz w:val="18"/>
                <w:szCs w:val="18"/>
              </w:rPr>
            </w:pPr>
            <w:r>
              <w:rPr>
                <w:sz w:val="18"/>
                <w:szCs w:val="18"/>
              </w:rPr>
              <w:t>II  ciclo</w:t>
            </w:r>
          </w:p>
        </w:tc>
      </w:tr>
      <w:tr w:rsidR="00A634F4" w:rsidRPr="00A634F4" w:rsidTr="0068067E">
        <w:tc>
          <w:tcPr>
            <w:tcW w:w="3364" w:type="pct"/>
          </w:tcPr>
          <w:p w:rsidR="00A634F4" w:rsidRPr="00A634F4" w:rsidRDefault="00A634F4" w:rsidP="00A634F4">
            <w:pPr>
              <w:jc w:val="both"/>
              <w:rPr>
                <w:sz w:val="18"/>
                <w:szCs w:val="18"/>
              </w:rPr>
            </w:pPr>
            <w:r w:rsidRPr="00A634F4">
              <w:rPr>
                <w:sz w:val="18"/>
                <w:szCs w:val="18"/>
              </w:rPr>
              <w:t>elaborazione PTOF,RAV,PDM</w:t>
            </w:r>
          </w:p>
        </w:tc>
        <w:tc>
          <w:tcPr>
            <w:tcW w:w="569" w:type="pct"/>
          </w:tcPr>
          <w:p w:rsidR="00A634F4" w:rsidRPr="00A634F4" w:rsidRDefault="009049C2" w:rsidP="009049C2">
            <w:pPr>
              <w:jc w:val="center"/>
              <w:rPr>
                <w:sz w:val="18"/>
                <w:szCs w:val="18"/>
              </w:rPr>
            </w:pPr>
            <w:r>
              <w:rPr>
                <w:sz w:val="18"/>
                <w:szCs w:val="18"/>
              </w:rPr>
              <w:t>74,5</w:t>
            </w:r>
          </w:p>
        </w:tc>
        <w:tc>
          <w:tcPr>
            <w:tcW w:w="500" w:type="pct"/>
            <w:shd w:val="clear" w:color="auto" w:fill="auto"/>
          </w:tcPr>
          <w:p w:rsidR="00A634F4" w:rsidRPr="00A634F4" w:rsidRDefault="009049C2" w:rsidP="009049C2">
            <w:pPr>
              <w:jc w:val="center"/>
              <w:rPr>
                <w:sz w:val="18"/>
                <w:szCs w:val="18"/>
              </w:rPr>
            </w:pPr>
            <w:r>
              <w:rPr>
                <w:sz w:val="18"/>
                <w:szCs w:val="18"/>
              </w:rPr>
              <w:t>83,1</w:t>
            </w:r>
          </w:p>
        </w:tc>
        <w:tc>
          <w:tcPr>
            <w:tcW w:w="568" w:type="pct"/>
            <w:shd w:val="clear" w:color="auto" w:fill="auto"/>
          </w:tcPr>
          <w:p w:rsidR="00A634F4" w:rsidRPr="00A634F4" w:rsidRDefault="009049C2" w:rsidP="009049C2">
            <w:pPr>
              <w:jc w:val="center"/>
              <w:rPr>
                <w:sz w:val="18"/>
                <w:szCs w:val="18"/>
              </w:rPr>
            </w:pPr>
            <w:r>
              <w:rPr>
                <w:sz w:val="18"/>
                <w:szCs w:val="18"/>
              </w:rPr>
              <w:t>56,4</w:t>
            </w:r>
          </w:p>
        </w:tc>
      </w:tr>
      <w:tr w:rsidR="00A634F4" w:rsidRPr="00A634F4" w:rsidTr="0068067E">
        <w:tc>
          <w:tcPr>
            <w:tcW w:w="3364" w:type="pct"/>
          </w:tcPr>
          <w:p w:rsidR="00A634F4" w:rsidRPr="00A634F4" w:rsidRDefault="00A634F4" w:rsidP="00A634F4">
            <w:pPr>
              <w:jc w:val="both"/>
              <w:rPr>
                <w:sz w:val="18"/>
                <w:szCs w:val="18"/>
              </w:rPr>
            </w:pPr>
            <w:r w:rsidRPr="00A634F4">
              <w:rPr>
                <w:sz w:val="18"/>
                <w:szCs w:val="18"/>
              </w:rPr>
              <w:t>partecipazione a gruppi di lavoro per progetti o in rete</w:t>
            </w:r>
          </w:p>
        </w:tc>
        <w:tc>
          <w:tcPr>
            <w:tcW w:w="569" w:type="pct"/>
          </w:tcPr>
          <w:p w:rsidR="00A634F4" w:rsidRPr="00A634F4" w:rsidRDefault="009049C2" w:rsidP="009049C2">
            <w:pPr>
              <w:jc w:val="center"/>
              <w:rPr>
                <w:sz w:val="18"/>
                <w:szCs w:val="18"/>
              </w:rPr>
            </w:pPr>
            <w:r>
              <w:rPr>
                <w:sz w:val="18"/>
                <w:szCs w:val="18"/>
              </w:rPr>
              <w:t>57,3</w:t>
            </w:r>
          </w:p>
        </w:tc>
        <w:tc>
          <w:tcPr>
            <w:tcW w:w="500" w:type="pct"/>
            <w:shd w:val="clear" w:color="auto" w:fill="auto"/>
          </w:tcPr>
          <w:p w:rsidR="00A634F4" w:rsidRPr="00A634F4" w:rsidRDefault="009049C2" w:rsidP="009049C2">
            <w:pPr>
              <w:jc w:val="center"/>
              <w:rPr>
                <w:sz w:val="18"/>
                <w:szCs w:val="18"/>
              </w:rPr>
            </w:pPr>
            <w:r>
              <w:rPr>
                <w:sz w:val="18"/>
                <w:szCs w:val="18"/>
              </w:rPr>
              <w:t>61,4</w:t>
            </w:r>
          </w:p>
        </w:tc>
        <w:tc>
          <w:tcPr>
            <w:tcW w:w="568" w:type="pct"/>
            <w:shd w:val="clear" w:color="auto" w:fill="auto"/>
          </w:tcPr>
          <w:p w:rsidR="00A634F4" w:rsidRPr="00A634F4" w:rsidRDefault="009049C2" w:rsidP="009049C2">
            <w:pPr>
              <w:jc w:val="center"/>
              <w:rPr>
                <w:sz w:val="18"/>
                <w:szCs w:val="18"/>
              </w:rPr>
            </w:pPr>
            <w:r>
              <w:rPr>
                <w:sz w:val="18"/>
                <w:szCs w:val="18"/>
              </w:rPr>
              <w:t>48,7</w:t>
            </w:r>
          </w:p>
        </w:tc>
      </w:tr>
      <w:tr w:rsidR="00A634F4" w:rsidRPr="00A634F4" w:rsidTr="0068067E">
        <w:tc>
          <w:tcPr>
            <w:tcW w:w="3364" w:type="pct"/>
          </w:tcPr>
          <w:p w:rsidR="00A634F4" w:rsidRPr="00A634F4" w:rsidRDefault="00A634F4" w:rsidP="00A634F4">
            <w:pPr>
              <w:jc w:val="both"/>
              <w:rPr>
                <w:sz w:val="18"/>
                <w:szCs w:val="18"/>
              </w:rPr>
            </w:pPr>
            <w:r w:rsidRPr="00A634F4">
              <w:rPr>
                <w:sz w:val="18"/>
                <w:szCs w:val="18"/>
              </w:rPr>
              <w:t>rapporti con gli EELL</w:t>
            </w:r>
          </w:p>
        </w:tc>
        <w:tc>
          <w:tcPr>
            <w:tcW w:w="569" w:type="pct"/>
          </w:tcPr>
          <w:p w:rsidR="00A634F4" w:rsidRPr="00A634F4" w:rsidRDefault="009049C2" w:rsidP="009049C2">
            <w:pPr>
              <w:jc w:val="center"/>
              <w:rPr>
                <w:sz w:val="18"/>
                <w:szCs w:val="18"/>
              </w:rPr>
            </w:pPr>
            <w:r>
              <w:rPr>
                <w:sz w:val="18"/>
                <w:szCs w:val="18"/>
              </w:rPr>
              <w:t>23</w:t>
            </w:r>
          </w:p>
        </w:tc>
        <w:tc>
          <w:tcPr>
            <w:tcW w:w="500" w:type="pct"/>
            <w:shd w:val="clear" w:color="auto" w:fill="auto"/>
          </w:tcPr>
          <w:p w:rsidR="00A634F4" w:rsidRPr="00A634F4" w:rsidRDefault="009049C2" w:rsidP="009049C2">
            <w:pPr>
              <w:jc w:val="center"/>
              <w:rPr>
                <w:sz w:val="18"/>
                <w:szCs w:val="18"/>
              </w:rPr>
            </w:pPr>
            <w:r>
              <w:rPr>
                <w:sz w:val="18"/>
                <w:szCs w:val="18"/>
              </w:rPr>
              <w:t>27,7</w:t>
            </w:r>
          </w:p>
        </w:tc>
        <w:tc>
          <w:tcPr>
            <w:tcW w:w="568" w:type="pct"/>
            <w:shd w:val="clear" w:color="auto" w:fill="auto"/>
          </w:tcPr>
          <w:p w:rsidR="00A634F4" w:rsidRPr="00A634F4" w:rsidRDefault="009049C2" w:rsidP="009049C2">
            <w:pPr>
              <w:jc w:val="center"/>
              <w:rPr>
                <w:sz w:val="18"/>
                <w:szCs w:val="18"/>
              </w:rPr>
            </w:pPr>
            <w:r>
              <w:rPr>
                <w:sz w:val="18"/>
                <w:szCs w:val="18"/>
              </w:rPr>
              <w:t>15,3</w:t>
            </w:r>
          </w:p>
        </w:tc>
      </w:tr>
      <w:tr w:rsidR="00A634F4" w:rsidRPr="00A634F4" w:rsidTr="0068067E">
        <w:tc>
          <w:tcPr>
            <w:tcW w:w="3364" w:type="pct"/>
          </w:tcPr>
          <w:p w:rsidR="00A634F4" w:rsidRPr="00A634F4" w:rsidRDefault="00A634F4" w:rsidP="00A634F4">
            <w:pPr>
              <w:jc w:val="both"/>
              <w:rPr>
                <w:sz w:val="18"/>
                <w:szCs w:val="18"/>
              </w:rPr>
            </w:pPr>
            <w:r w:rsidRPr="00A634F4">
              <w:rPr>
                <w:sz w:val="18"/>
                <w:szCs w:val="18"/>
              </w:rPr>
              <w:t>partecipazione a gare, concorsi, eventi</w:t>
            </w:r>
          </w:p>
        </w:tc>
        <w:tc>
          <w:tcPr>
            <w:tcW w:w="569" w:type="pct"/>
          </w:tcPr>
          <w:p w:rsidR="00A634F4" w:rsidRPr="00A634F4" w:rsidRDefault="009049C2" w:rsidP="009049C2">
            <w:pPr>
              <w:jc w:val="center"/>
              <w:rPr>
                <w:sz w:val="18"/>
                <w:szCs w:val="18"/>
              </w:rPr>
            </w:pPr>
            <w:r>
              <w:rPr>
                <w:sz w:val="18"/>
                <w:szCs w:val="18"/>
              </w:rPr>
              <w:t>54</w:t>
            </w:r>
          </w:p>
        </w:tc>
        <w:tc>
          <w:tcPr>
            <w:tcW w:w="500" w:type="pct"/>
            <w:shd w:val="clear" w:color="auto" w:fill="auto"/>
          </w:tcPr>
          <w:p w:rsidR="00A634F4" w:rsidRPr="00A634F4" w:rsidRDefault="009049C2" w:rsidP="009049C2">
            <w:pPr>
              <w:jc w:val="center"/>
              <w:rPr>
                <w:sz w:val="18"/>
                <w:szCs w:val="18"/>
              </w:rPr>
            </w:pPr>
            <w:r>
              <w:rPr>
                <w:sz w:val="18"/>
                <w:szCs w:val="18"/>
              </w:rPr>
              <w:t>59</w:t>
            </w:r>
          </w:p>
        </w:tc>
        <w:tc>
          <w:tcPr>
            <w:tcW w:w="568" w:type="pct"/>
            <w:shd w:val="clear" w:color="auto" w:fill="auto"/>
          </w:tcPr>
          <w:p w:rsidR="00A634F4" w:rsidRPr="00A634F4" w:rsidRDefault="009049C2" w:rsidP="009049C2">
            <w:pPr>
              <w:jc w:val="center"/>
              <w:rPr>
                <w:sz w:val="18"/>
                <w:szCs w:val="18"/>
              </w:rPr>
            </w:pPr>
            <w:r>
              <w:rPr>
                <w:sz w:val="18"/>
                <w:szCs w:val="18"/>
              </w:rPr>
              <w:t>43,5</w:t>
            </w:r>
          </w:p>
        </w:tc>
      </w:tr>
      <w:tr w:rsidR="00A634F4" w:rsidRPr="00A634F4" w:rsidTr="0068067E">
        <w:tc>
          <w:tcPr>
            <w:tcW w:w="3364" w:type="pct"/>
          </w:tcPr>
          <w:p w:rsidR="00A634F4" w:rsidRPr="00A634F4" w:rsidRDefault="00A634F4" w:rsidP="00A634F4">
            <w:pPr>
              <w:jc w:val="both"/>
              <w:rPr>
                <w:sz w:val="18"/>
                <w:szCs w:val="18"/>
              </w:rPr>
            </w:pPr>
            <w:r w:rsidRPr="00A634F4">
              <w:rPr>
                <w:sz w:val="18"/>
                <w:szCs w:val="18"/>
              </w:rPr>
              <w:t>formazione personale del docente</w:t>
            </w:r>
          </w:p>
        </w:tc>
        <w:tc>
          <w:tcPr>
            <w:tcW w:w="569" w:type="pct"/>
          </w:tcPr>
          <w:p w:rsidR="00A634F4" w:rsidRPr="00A634F4" w:rsidRDefault="009049C2" w:rsidP="009049C2">
            <w:pPr>
              <w:jc w:val="center"/>
              <w:rPr>
                <w:sz w:val="18"/>
                <w:szCs w:val="18"/>
              </w:rPr>
            </w:pPr>
            <w:r>
              <w:rPr>
                <w:sz w:val="18"/>
                <w:szCs w:val="18"/>
              </w:rPr>
              <w:t>76,2</w:t>
            </w:r>
          </w:p>
        </w:tc>
        <w:tc>
          <w:tcPr>
            <w:tcW w:w="500" w:type="pct"/>
            <w:shd w:val="clear" w:color="auto" w:fill="auto"/>
          </w:tcPr>
          <w:p w:rsidR="00A634F4" w:rsidRPr="00A634F4" w:rsidRDefault="009049C2" w:rsidP="009049C2">
            <w:pPr>
              <w:jc w:val="center"/>
              <w:rPr>
                <w:sz w:val="18"/>
                <w:szCs w:val="18"/>
              </w:rPr>
            </w:pPr>
            <w:r>
              <w:rPr>
                <w:sz w:val="18"/>
                <w:szCs w:val="18"/>
              </w:rPr>
              <w:t>78,3</w:t>
            </w:r>
          </w:p>
        </w:tc>
        <w:tc>
          <w:tcPr>
            <w:tcW w:w="568" w:type="pct"/>
            <w:shd w:val="clear" w:color="auto" w:fill="auto"/>
          </w:tcPr>
          <w:p w:rsidR="00A634F4" w:rsidRPr="00A634F4" w:rsidRDefault="009049C2" w:rsidP="009049C2">
            <w:pPr>
              <w:jc w:val="center"/>
              <w:rPr>
                <w:sz w:val="18"/>
                <w:szCs w:val="18"/>
              </w:rPr>
            </w:pPr>
            <w:r>
              <w:rPr>
                <w:sz w:val="18"/>
                <w:szCs w:val="18"/>
              </w:rPr>
              <w:t>71,7</w:t>
            </w:r>
          </w:p>
        </w:tc>
      </w:tr>
    </w:tbl>
    <w:p w:rsidR="00E66E43" w:rsidRDefault="00E66E43" w:rsidP="00E66E43">
      <w:pPr>
        <w:spacing w:after="0"/>
        <w:jc w:val="center"/>
      </w:pPr>
      <w:r>
        <w:rPr>
          <w:noProof/>
          <w:lang w:eastAsia="it-IT"/>
        </w:rPr>
        <w:lastRenderedPageBreak/>
        <w:drawing>
          <wp:inline distT="0" distB="0" distL="0" distR="0" wp14:anchorId="5D86EDD7" wp14:editId="0D665067">
            <wp:extent cx="5814204" cy="2674189"/>
            <wp:effectExtent l="0" t="0" r="15240" b="12065"/>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E2C74" w:rsidRDefault="00EE2C74" w:rsidP="00992B38">
      <w:pPr>
        <w:spacing w:after="0"/>
        <w:jc w:val="both"/>
      </w:pPr>
    </w:p>
    <w:tbl>
      <w:tblPr>
        <w:tblStyle w:val="Grigliatabella"/>
        <w:tblW w:w="5000" w:type="pct"/>
        <w:tblLook w:val="04A0" w:firstRow="1" w:lastRow="0" w:firstColumn="1" w:lastColumn="0" w:noHBand="0" w:noVBand="1"/>
      </w:tblPr>
      <w:tblGrid>
        <w:gridCol w:w="6630"/>
        <w:gridCol w:w="1133"/>
        <w:gridCol w:w="991"/>
        <w:gridCol w:w="1100"/>
      </w:tblGrid>
      <w:tr w:rsidR="00AA7039" w:rsidTr="002D5355">
        <w:tc>
          <w:tcPr>
            <w:tcW w:w="3364" w:type="pct"/>
          </w:tcPr>
          <w:p w:rsidR="00AA7039" w:rsidRDefault="000E38CC" w:rsidP="00A634F4">
            <w:pPr>
              <w:pStyle w:val="Testonotaapidipagina"/>
              <w:jc w:val="both"/>
              <w:rPr>
                <w:sz w:val="18"/>
                <w:szCs w:val="18"/>
              </w:rPr>
            </w:pPr>
            <w:r w:rsidRPr="000E38CC">
              <w:rPr>
                <w:sz w:val="18"/>
                <w:szCs w:val="18"/>
              </w:rPr>
              <w:t>CONTRIBUTO AL SUCCESSO FORMATIVO</w:t>
            </w:r>
          </w:p>
        </w:tc>
        <w:tc>
          <w:tcPr>
            <w:tcW w:w="575" w:type="pct"/>
          </w:tcPr>
          <w:p w:rsidR="00AA7039" w:rsidRPr="00A634F4" w:rsidRDefault="00AA7039" w:rsidP="00A72CF9">
            <w:pPr>
              <w:jc w:val="center"/>
              <w:rPr>
                <w:sz w:val="18"/>
                <w:szCs w:val="18"/>
              </w:rPr>
            </w:pPr>
            <w:r>
              <w:rPr>
                <w:sz w:val="18"/>
                <w:szCs w:val="18"/>
              </w:rPr>
              <w:t>Globale</w:t>
            </w:r>
          </w:p>
        </w:tc>
        <w:tc>
          <w:tcPr>
            <w:tcW w:w="503" w:type="pct"/>
          </w:tcPr>
          <w:p w:rsidR="00AA7039" w:rsidRPr="00A634F4" w:rsidRDefault="00AA7039" w:rsidP="00A72CF9">
            <w:pPr>
              <w:jc w:val="center"/>
              <w:rPr>
                <w:sz w:val="18"/>
                <w:szCs w:val="18"/>
              </w:rPr>
            </w:pPr>
            <w:r>
              <w:rPr>
                <w:sz w:val="18"/>
                <w:szCs w:val="18"/>
              </w:rPr>
              <w:t>I ciclo</w:t>
            </w:r>
          </w:p>
        </w:tc>
        <w:tc>
          <w:tcPr>
            <w:tcW w:w="558" w:type="pct"/>
          </w:tcPr>
          <w:p w:rsidR="00AA7039" w:rsidRPr="00A634F4" w:rsidRDefault="00AA7039" w:rsidP="00A72CF9">
            <w:pPr>
              <w:jc w:val="center"/>
              <w:rPr>
                <w:sz w:val="18"/>
                <w:szCs w:val="18"/>
              </w:rPr>
            </w:pPr>
            <w:r>
              <w:rPr>
                <w:sz w:val="18"/>
                <w:szCs w:val="18"/>
              </w:rPr>
              <w:t>II  ciclo</w:t>
            </w:r>
          </w:p>
        </w:tc>
      </w:tr>
      <w:tr w:rsidR="00AA7039" w:rsidTr="002D5355">
        <w:tc>
          <w:tcPr>
            <w:tcW w:w="3364" w:type="pct"/>
          </w:tcPr>
          <w:p w:rsidR="00AA7039" w:rsidRDefault="00AA7039" w:rsidP="00A634F4">
            <w:pPr>
              <w:pStyle w:val="Testonotaapidipagina"/>
              <w:jc w:val="both"/>
              <w:rPr>
                <w:sz w:val="18"/>
                <w:szCs w:val="18"/>
              </w:rPr>
            </w:pPr>
            <w:r w:rsidRPr="00AA7039">
              <w:rPr>
                <w:sz w:val="18"/>
                <w:szCs w:val="18"/>
              </w:rPr>
              <w:t>ampliamento offerta formativa</w:t>
            </w:r>
          </w:p>
        </w:tc>
        <w:tc>
          <w:tcPr>
            <w:tcW w:w="575" w:type="pct"/>
          </w:tcPr>
          <w:p w:rsidR="00AA7039" w:rsidRDefault="000E38CC" w:rsidP="000E38CC">
            <w:pPr>
              <w:pStyle w:val="Testonotaapidipagina"/>
              <w:jc w:val="center"/>
              <w:rPr>
                <w:sz w:val="18"/>
                <w:szCs w:val="18"/>
              </w:rPr>
            </w:pPr>
            <w:r>
              <w:rPr>
                <w:sz w:val="18"/>
                <w:szCs w:val="18"/>
              </w:rPr>
              <w:t>55,7</w:t>
            </w:r>
          </w:p>
        </w:tc>
        <w:tc>
          <w:tcPr>
            <w:tcW w:w="503" w:type="pct"/>
          </w:tcPr>
          <w:p w:rsidR="00AA7039" w:rsidRDefault="000E38CC" w:rsidP="000E38CC">
            <w:pPr>
              <w:pStyle w:val="Testonotaapidipagina"/>
              <w:jc w:val="center"/>
              <w:rPr>
                <w:sz w:val="18"/>
                <w:szCs w:val="18"/>
              </w:rPr>
            </w:pPr>
            <w:r>
              <w:rPr>
                <w:sz w:val="18"/>
                <w:szCs w:val="18"/>
              </w:rPr>
              <w:t>57,8</w:t>
            </w:r>
          </w:p>
        </w:tc>
        <w:tc>
          <w:tcPr>
            <w:tcW w:w="558" w:type="pct"/>
          </w:tcPr>
          <w:p w:rsidR="00AA7039" w:rsidRDefault="000E38CC" w:rsidP="000E38CC">
            <w:pPr>
              <w:pStyle w:val="Testonotaapidipagina"/>
              <w:jc w:val="center"/>
              <w:rPr>
                <w:sz w:val="18"/>
                <w:szCs w:val="18"/>
              </w:rPr>
            </w:pPr>
            <w:r>
              <w:rPr>
                <w:sz w:val="18"/>
                <w:szCs w:val="18"/>
              </w:rPr>
              <w:t>51,2</w:t>
            </w:r>
          </w:p>
        </w:tc>
      </w:tr>
      <w:tr w:rsidR="00AA7039" w:rsidTr="0068067E">
        <w:tc>
          <w:tcPr>
            <w:tcW w:w="3364" w:type="pct"/>
          </w:tcPr>
          <w:p w:rsidR="00AA7039" w:rsidRDefault="00AA7039" w:rsidP="00A634F4">
            <w:pPr>
              <w:pStyle w:val="Testonotaapidipagina"/>
              <w:jc w:val="both"/>
              <w:rPr>
                <w:sz w:val="18"/>
                <w:szCs w:val="18"/>
              </w:rPr>
            </w:pPr>
            <w:r w:rsidRPr="00AA7039">
              <w:rPr>
                <w:sz w:val="18"/>
                <w:szCs w:val="18"/>
              </w:rPr>
              <w:t>predisposizione prove comuni/compiti autentici</w:t>
            </w:r>
          </w:p>
        </w:tc>
        <w:tc>
          <w:tcPr>
            <w:tcW w:w="575" w:type="pct"/>
          </w:tcPr>
          <w:p w:rsidR="00AA7039" w:rsidRDefault="000E38CC" w:rsidP="000E38CC">
            <w:pPr>
              <w:pStyle w:val="Testonotaapidipagina"/>
              <w:jc w:val="center"/>
              <w:rPr>
                <w:sz w:val="18"/>
                <w:szCs w:val="18"/>
              </w:rPr>
            </w:pPr>
            <w:r>
              <w:rPr>
                <w:sz w:val="18"/>
                <w:szCs w:val="18"/>
              </w:rPr>
              <w:t>24,6</w:t>
            </w:r>
          </w:p>
        </w:tc>
        <w:tc>
          <w:tcPr>
            <w:tcW w:w="503" w:type="pct"/>
            <w:shd w:val="clear" w:color="auto" w:fill="auto"/>
          </w:tcPr>
          <w:p w:rsidR="00AA7039" w:rsidRDefault="000E38CC" w:rsidP="000E38CC">
            <w:pPr>
              <w:pStyle w:val="Testonotaapidipagina"/>
              <w:jc w:val="center"/>
              <w:rPr>
                <w:sz w:val="18"/>
                <w:szCs w:val="18"/>
              </w:rPr>
            </w:pPr>
            <w:r>
              <w:rPr>
                <w:sz w:val="18"/>
                <w:szCs w:val="18"/>
              </w:rPr>
              <w:t>26,5</w:t>
            </w:r>
          </w:p>
        </w:tc>
        <w:tc>
          <w:tcPr>
            <w:tcW w:w="558" w:type="pct"/>
          </w:tcPr>
          <w:p w:rsidR="00AA7039" w:rsidRDefault="00A40F5C" w:rsidP="000E38CC">
            <w:pPr>
              <w:pStyle w:val="Testonotaapidipagina"/>
              <w:jc w:val="center"/>
              <w:rPr>
                <w:sz w:val="18"/>
                <w:szCs w:val="18"/>
              </w:rPr>
            </w:pPr>
            <w:r>
              <w:rPr>
                <w:sz w:val="18"/>
                <w:szCs w:val="18"/>
              </w:rPr>
              <w:t>20,5</w:t>
            </w:r>
          </w:p>
        </w:tc>
      </w:tr>
      <w:tr w:rsidR="00AA7039" w:rsidTr="002D5355">
        <w:tc>
          <w:tcPr>
            <w:tcW w:w="3364" w:type="pct"/>
          </w:tcPr>
          <w:p w:rsidR="00AA7039" w:rsidRDefault="00AA7039" w:rsidP="00A634F4">
            <w:pPr>
              <w:pStyle w:val="Testonotaapidipagina"/>
              <w:jc w:val="both"/>
              <w:rPr>
                <w:sz w:val="18"/>
                <w:szCs w:val="18"/>
              </w:rPr>
            </w:pPr>
            <w:r w:rsidRPr="00AA7039">
              <w:rPr>
                <w:sz w:val="18"/>
                <w:szCs w:val="18"/>
              </w:rPr>
              <w:t>attività di inclusione</w:t>
            </w:r>
          </w:p>
        </w:tc>
        <w:tc>
          <w:tcPr>
            <w:tcW w:w="575" w:type="pct"/>
          </w:tcPr>
          <w:p w:rsidR="00AA7039" w:rsidRDefault="00A40F5C" w:rsidP="000E38CC">
            <w:pPr>
              <w:pStyle w:val="Testonotaapidipagina"/>
              <w:jc w:val="center"/>
              <w:rPr>
                <w:sz w:val="18"/>
                <w:szCs w:val="18"/>
              </w:rPr>
            </w:pPr>
            <w:r>
              <w:rPr>
                <w:sz w:val="18"/>
                <w:szCs w:val="18"/>
              </w:rPr>
              <w:t>67,2</w:t>
            </w:r>
          </w:p>
        </w:tc>
        <w:tc>
          <w:tcPr>
            <w:tcW w:w="503" w:type="pct"/>
          </w:tcPr>
          <w:p w:rsidR="00AA7039" w:rsidRDefault="00A40F5C" w:rsidP="000E38CC">
            <w:pPr>
              <w:pStyle w:val="Testonotaapidipagina"/>
              <w:jc w:val="center"/>
              <w:rPr>
                <w:sz w:val="18"/>
                <w:szCs w:val="18"/>
              </w:rPr>
            </w:pPr>
            <w:r>
              <w:rPr>
                <w:sz w:val="18"/>
                <w:szCs w:val="18"/>
              </w:rPr>
              <w:t>71,1</w:t>
            </w:r>
          </w:p>
        </w:tc>
        <w:tc>
          <w:tcPr>
            <w:tcW w:w="558" w:type="pct"/>
            <w:shd w:val="clear" w:color="auto" w:fill="auto"/>
          </w:tcPr>
          <w:p w:rsidR="00AA7039" w:rsidRDefault="00A40F5C" w:rsidP="000E38CC">
            <w:pPr>
              <w:pStyle w:val="Testonotaapidipagina"/>
              <w:jc w:val="center"/>
              <w:rPr>
                <w:sz w:val="18"/>
                <w:szCs w:val="18"/>
              </w:rPr>
            </w:pPr>
            <w:r>
              <w:rPr>
                <w:sz w:val="18"/>
                <w:szCs w:val="18"/>
              </w:rPr>
              <w:t>58,9</w:t>
            </w:r>
          </w:p>
        </w:tc>
      </w:tr>
    </w:tbl>
    <w:p w:rsidR="00A634F4" w:rsidRDefault="00A634F4" w:rsidP="00A634F4">
      <w:pPr>
        <w:pStyle w:val="Testonotaapidipagina"/>
        <w:jc w:val="both"/>
        <w:rPr>
          <w:sz w:val="18"/>
          <w:szCs w:val="18"/>
        </w:rPr>
      </w:pPr>
    </w:p>
    <w:p w:rsidR="00EE2C74" w:rsidRDefault="00EE2C74" w:rsidP="00A634F4">
      <w:pPr>
        <w:pStyle w:val="Testonotaapidipagina"/>
        <w:jc w:val="both"/>
        <w:rPr>
          <w:sz w:val="18"/>
          <w:szCs w:val="18"/>
        </w:rPr>
      </w:pPr>
    </w:p>
    <w:p w:rsidR="00E66E43" w:rsidRDefault="00E66E43" w:rsidP="00E66E43">
      <w:pPr>
        <w:pStyle w:val="Testonotaapidipagina"/>
        <w:jc w:val="center"/>
        <w:rPr>
          <w:sz w:val="18"/>
          <w:szCs w:val="18"/>
        </w:rPr>
      </w:pPr>
      <w:r>
        <w:rPr>
          <w:noProof/>
          <w:lang w:eastAsia="it-IT"/>
        </w:rPr>
        <w:drawing>
          <wp:inline distT="0" distB="0" distL="0" distR="0" wp14:anchorId="746EE22A" wp14:editId="2FD3C397">
            <wp:extent cx="5408763" cy="2216989"/>
            <wp:effectExtent l="0" t="0" r="20955" b="12065"/>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66E43" w:rsidRDefault="00E66E43" w:rsidP="00A634F4">
      <w:pPr>
        <w:pStyle w:val="Testonotaapidipagina"/>
        <w:jc w:val="both"/>
        <w:rPr>
          <w:sz w:val="18"/>
          <w:szCs w:val="18"/>
        </w:rPr>
      </w:pPr>
    </w:p>
    <w:p w:rsidR="00E66E43" w:rsidRDefault="00E66E43" w:rsidP="00A634F4">
      <w:pPr>
        <w:pStyle w:val="Testonotaapidipagina"/>
        <w:jc w:val="both"/>
        <w:rPr>
          <w:sz w:val="18"/>
          <w:szCs w:val="18"/>
        </w:rPr>
      </w:pPr>
    </w:p>
    <w:p w:rsidR="00E66E43" w:rsidRPr="004E23CC" w:rsidRDefault="00E66E43" w:rsidP="00A634F4">
      <w:pPr>
        <w:pStyle w:val="Testonotaapidipagina"/>
        <w:jc w:val="both"/>
        <w:rPr>
          <w:sz w:val="18"/>
          <w:szCs w:val="18"/>
        </w:rPr>
      </w:pPr>
    </w:p>
    <w:tbl>
      <w:tblPr>
        <w:tblStyle w:val="Grigliatabella"/>
        <w:tblW w:w="5000" w:type="pct"/>
        <w:tblLook w:val="04A0" w:firstRow="1" w:lastRow="0" w:firstColumn="1" w:lastColumn="0" w:noHBand="0" w:noVBand="1"/>
      </w:tblPr>
      <w:tblGrid>
        <w:gridCol w:w="6630"/>
        <w:gridCol w:w="1133"/>
        <w:gridCol w:w="991"/>
        <w:gridCol w:w="1100"/>
      </w:tblGrid>
      <w:tr w:rsidR="00572D07" w:rsidTr="00AB1ED3">
        <w:tc>
          <w:tcPr>
            <w:tcW w:w="3364" w:type="pct"/>
          </w:tcPr>
          <w:p w:rsidR="00572D07" w:rsidRDefault="009A091C" w:rsidP="00A634F4">
            <w:pPr>
              <w:pStyle w:val="Testonotaapidipagina"/>
              <w:jc w:val="both"/>
              <w:rPr>
                <w:sz w:val="18"/>
                <w:szCs w:val="18"/>
              </w:rPr>
            </w:pPr>
            <w:r w:rsidRPr="00572D07">
              <w:rPr>
                <w:sz w:val="18"/>
                <w:szCs w:val="18"/>
              </w:rPr>
              <w:t>VALUTAZIONE DELLA QUALITÀ DELL'INSEGNAMENTO</w:t>
            </w:r>
          </w:p>
        </w:tc>
        <w:tc>
          <w:tcPr>
            <w:tcW w:w="575" w:type="pct"/>
          </w:tcPr>
          <w:p w:rsidR="00572D07" w:rsidRPr="00A634F4" w:rsidRDefault="00572D07" w:rsidP="00AF257D">
            <w:pPr>
              <w:jc w:val="center"/>
              <w:rPr>
                <w:sz w:val="18"/>
                <w:szCs w:val="18"/>
              </w:rPr>
            </w:pPr>
            <w:r>
              <w:rPr>
                <w:sz w:val="18"/>
                <w:szCs w:val="18"/>
              </w:rPr>
              <w:t>Globale</w:t>
            </w:r>
          </w:p>
        </w:tc>
        <w:tc>
          <w:tcPr>
            <w:tcW w:w="503" w:type="pct"/>
          </w:tcPr>
          <w:p w:rsidR="00572D07" w:rsidRPr="00A634F4" w:rsidRDefault="00572D07" w:rsidP="00AF257D">
            <w:pPr>
              <w:jc w:val="center"/>
              <w:rPr>
                <w:sz w:val="18"/>
                <w:szCs w:val="18"/>
              </w:rPr>
            </w:pPr>
            <w:r>
              <w:rPr>
                <w:sz w:val="18"/>
                <w:szCs w:val="18"/>
              </w:rPr>
              <w:t>I ciclo</w:t>
            </w:r>
          </w:p>
        </w:tc>
        <w:tc>
          <w:tcPr>
            <w:tcW w:w="558" w:type="pct"/>
          </w:tcPr>
          <w:p w:rsidR="00572D07" w:rsidRPr="00A634F4" w:rsidRDefault="00572D07" w:rsidP="00AF257D">
            <w:pPr>
              <w:jc w:val="center"/>
              <w:rPr>
                <w:sz w:val="18"/>
                <w:szCs w:val="18"/>
              </w:rPr>
            </w:pPr>
            <w:r>
              <w:rPr>
                <w:sz w:val="18"/>
                <w:szCs w:val="18"/>
              </w:rPr>
              <w:t>II  ciclo</w:t>
            </w:r>
          </w:p>
        </w:tc>
      </w:tr>
      <w:tr w:rsidR="00572D07" w:rsidTr="00AB1ED3">
        <w:tc>
          <w:tcPr>
            <w:tcW w:w="3364" w:type="pct"/>
          </w:tcPr>
          <w:p w:rsidR="00572D07" w:rsidRDefault="00572D07" w:rsidP="00A634F4">
            <w:pPr>
              <w:pStyle w:val="Testonotaapidipagina"/>
              <w:jc w:val="both"/>
              <w:rPr>
                <w:sz w:val="18"/>
                <w:szCs w:val="18"/>
              </w:rPr>
            </w:pPr>
            <w:r w:rsidRPr="00A40F5C">
              <w:rPr>
                <w:sz w:val="18"/>
                <w:szCs w:val="18"/>
              </w:rPr>
              <w:t>personalizzazione</w:t>
            </w:r>
          </w:p>
        </w:tc>
        <w:tc>
          <w:tcPr>
            <w:tcW w:w="575" w:type="pct"/>
          </w:tcPr>
          <w:p w:rsidR="00572D07" w:rsidRDefault="00AB1ED3" w:rsidP="00AB1ED3">
            <w:pPr>
              <w:pStyle w:val="Testonotaapidipagina"/>
              <w:jc w:val="center"/>
              <w:rPr>
                <w:sz w:val="18"/>
                <w:szCs w:val="18"/>
              </w:rPr>
            </w:pPr>
            <w:r>
              <w:rPr>
                <w:sz w:val="18"/>
                <w:szCs w:val="18"/>
              </w:rPr>
              <w:t>53,3</w:t>
            </w:r>
          </w:p>
        </w:tc>
        <w:tc>
          <w:tcPr>
            <w:tcW w:w="503" w:type="pct"/>
          </w:tcPr>
          <w:p w:rsidR="00572D07" w:rsidRDefault="00AB1ED3" w:rsidP="00AB1ED3">
            <w:pPr>
              <w:pStyle w:val="Testonotaapidipagina"/>
              <w:jc w:val="center"/>
              <w:rPr>
                <w:sz w:val="18"/>
                <w:szCs w:val="18"/>
              </w:rPr>
            </w:pPr>
            <w:r>
              <w:rPr>
                <w:sz w:val="18"/>
                <w:szCs w:val="18"/>
              </w:rPr>
              <w:t>55,4</w:t>
            </w:r>
          </w:p>
        </w:tc>
        <w:tc>
          <w:tcPr>
            <w:tcW w:w="558" w:type="pct"/>
          </w:tcPr>
          <w:p w:rsidR="00572D07" w:rsidRDefault="00AB1ED3" w:rsidP="00AB1ED3">
            <w:pPr>
              <w:pStyle w:val="Testonotaapidipagina"/>
              <w:jc w:val="center"/>
              <w:rPr>
                <w:sz w:val="18"/>
                <w:szCs w:val="18"/>
              </w:rPr>
            </w:pPr>
            <w:r>
              <w:rPr>
                <w:sz w:val="18"/>
                <w:szCs w:val="18"/>
              </w:rPr>
              <w:t>48,7</w:t>
            </w:r>
          </w:p>
        </w:tc>
      </w:tr>
      <w:tr w:rsidR="00572D07" w:rsidTr="00AB1ED3">
        <w:tc>
          <w:tcPr>
            <w:tcW w:w="3364" w:type="pct"/>
          </w:tcPr>
          <w:p w:rsidR="00572D07" w:rsidRDefault="00572D07" w:rsidP="00A634F4">
            <w:pPr>
              <w:pStyle w:val="Testonotaapidipagina"/>
              <w:jc w:val="both"/>
              <w:rPr>
                <w:sz w:val="18"/>
                <w:szCs w:val="18"/>
              </w:rPr>
            </w:pPr>
            <w:r w:rsidRPr="00A40F5C">
              <w:rPr>
                <w:sz w:val="18"/>
                <w:szCs w:val="18"/>
              </w:rPr>
              <w:t>efficacia didattica</w:t>
            </w:r>
          </w:p>
        </w:tc>
        <w:tc>
          <w:tcPr>
            <w:tcW w:w="575" w:type="pct"/>
          </w:tcPr>
          <w:p w:rsidR="00572D07" w:rsidRDefault="00AB1ED3" w:rsidP="00AB1ED3">
            <w:pPr>
              <w:pStyle w:val="Testonotaapidipagina"/>
              <w:jc w:val="center"/>
              <w:rPr>
                <w:sz w:val="18"/>
                <w:szCs w:val="18"/>
              </w:rPr>
            </w:pPr>
            <w:r>
              <w:rPr>
                <w:sz w:val="18"/>
                <w:szCs w:val="18"/>
              </w:rPr>
              <w:t>59,1</w:t>
            </w:r>
          </w:p>
        </w:tc>
        <w:tc>
          <w:tcPr>
            <w:tcW w:w="503" w:type="pct"/>
          </w:tcPr>
          <w:p w:rsidR="00572D07" w:rsidRDefault="00AB1ED3" w:rsidP="00AB1ED3">
            <w:pPr>
              <w:pStyle w:val="Testonotaapidipagina"/>
              <w:jc w:val="center"/>
              <w:rPr>
                <w:sz w:val="18"/>
                <w:szCs w:val="18"/>
              </w:rPr>
            </w:pPr>
            <w:r>
              <w:rPr>
                <w:sz w:val="18"/>
                <w:szCs w:val="18"/>
              </w:rPr>
              <w:t>62,6</w:t>
            </w:r>
          </w:p>
        </w:tc>
        <w:tc>
          <w:tcPr>
            <w:tcW w:w="558" w:type="pct"/>
          </w:tcPr>
          <w:p w:rsidR="00572D07" w:rsidRDefault="00AB1ED3" w:rsidP="00AB1ED3">
            <w:pPr>
              <w:pStyle w:val="Testonotaapidipagina"/>
              <w:jc w:val="center"/>
              <w:rPr>
                <w:sz w:val="18"/>
                <w:szCs w:val="18"/>
              </w:rPr>
            </w:pPr>
            <w:r>
              <w:rPr>
                <w:sz w:val="18"/>
                <w:szCs w:val="18"/>
              </w:rPr>
              <w:t>51,3</w:t>
            </w:r>
          </w:p>
        </w:tc>
      </w:tr>
      <w:tr w:rsidR="00572D07" w:rsidTr="00AB1ED3">
        <w:tc>
          <w:tcPr>
            <w:tcW w:w="3364" w:type="pct"/>
          </w:tcPr>
          <w:p w:rsidR="00572D07" w:rsidRDefault="00572D07" w:rsidP="00A634F4">
            <w:pPr>
              <w:pStyle w:val="Testonotaapidipagina"/>
              <w:jc w:val="both"/>
              <w:rPr>
                <w:sz w:val="18"/>
                <w:szCs w:val="18"/>
              </w:rPr>
            </w:pPr>
            <w:r w:rsidRPr="00A40F5C">
              <w:rPr>
                <w:sz w:val="18"/>
                <w:szCs w:val="18"/>
              </w:rPr>
              <w:t>valutazione anche per competenze</w:t>
            </w:r>
          </w:p>
        </w:tc>
        <w:tc>
          <w:tcPr>
            <w:tcW w:w="575" w:type="pct"/>
          </w:tcPr>
          <w:p w:rsidR="00572D07" w:rsidRDefault="00992B38" w:rsidP="00AB1ED3">
            <w:pPr>
              <w:pStyle w:val="Testonotaapidipagina"/>
              <w:jc w:val="center"/>
              <w:rPr>
                <w:sz w:val="18"/>
                <w:szCs w:val="18"/>
              </w:rPr>
            </w:pPr>
            <w:r>
              <w:rPr>
                <w:sz w:val="18"/>
                <w:szCs w:val="18"/>
              </w:rPr>
              <w:t>29,5</w:t>
            </w:r>
          </w:p>
        </w:tc>
        <w:tc>
          <w:tcPr>
            <w:tcW w:w="503" w:type="pct"/>
          </w:tcPr>
          <w:p w:rsidR="00572D07" w:rsidRDefault="00992B38" w:rsidP="00AB1ED3">
            <w:pPr>
              <w:pStyle w:val="Testonotaapidipagina"/>
              <w:jc w:val="center"/>
              <w:rPr>
                <w:sz w:val="18"/>
                <w:szCs w:val="18"/>
              </w:rPr>
            </w:pPr>
            <w:r>
              <w:rPr>
                <w:sz w:val="18"/>
                <w:szCs w:val="18"/>
              </w:rPr>
              <w:t>33,7</w:t>
            </w:r>
          </w:p>
        </w:tc>
        <w:tc>
          <w:tcPr>
            <w:tcW w:w="558" w:type="pct"/>
          </w:tcPr>
          <w:p w:rsidR="00572D07" w:rsidRDefault="00992B38" w:rsidP="00AB1ED3">
            <w:pPr>
              <w:pStyle w:val="Testonotaapidipagina"/>
              <w:jc w:val="center"/>
              <w:rPr>
                <w:sz w:val="18"/>
                <w:szCs w:val="18"/>
              </w:rPr>
            </w:pPr>
            <w:r>
              <w:rPr>
                <w:sz w:val="18"/>
                <w:szCs w:val="18"/>
              </w:rPr>
              <w:t>20,5</w:t>
            </w:r>
          </w:p>
        </w:tc>
      </w:tr>
      <w:tr w:rsidR="00572D07" w:rsidTr="008151DE">
        <w:tc>
          <w:tcPr>
            <w:tcW w:w="3364" w:type="pct"/>
          </w:tcPr>
          <w:p w:rsidR="00572D07" w:rsidRDefault="00572D07" w:rsidP="00A634F4">
            <w:pPr>
              <w:pStyle w:val="Testonotaapidipagina"/>
              <w:jc w:val="both"/>
              <w:rPr>
                <w:sz w:val="18"/>
                <w:szCs w:val="18"/>
              </w:rPr>
            </w:pPr>
            <w:r w:rsidRPr="00A40F5C">
              <w:rPr>
                <w:sz w:val="18"/>
                <w:szCs w:val="18"/>
              </w:rPr>
              <w:t>rapporti con i genitori</w:t>
            </w:r>
          </w:p>
        </w:tc>
        <w:tc>
          <w:tcPr>
            <w:tcW w:w="575" w:type="pct"/>
            <w:shd w:val="clear" w:color="auto" w:fill="auto"/>
          </w:tcPr>
          <w:p w:rsidR="00572D07" w:rsidRDefault="00992B38" w:rsidP="00AB1ED3">
            <w:pPr>
              <w:pStyle w:val="Testonotaapidipagina"/>
              <w:jc w:val="center"/>
              <w:rPr>
                <w:sz w:val="18"/>
                <w:szCs w:val="18"/>
              </w:rPr>
            </w:pPr>
            <w:r>
              <w:rPr>
                <w:sz w:val="18"/>
                <w:szCs w:val="18"/>
              </w:rPr>
              <w:t>30,3</w:t>
            </w:r>
          </w:p>
        </w:tc>
        <w:tc>
          <w:tcPr>
            <w:tcW w:w="503" w:type="pct"/>
            <w:shd w:val="clear" w:color="auto" w:fill="auto"/>
          </w:tcPr>
          <w:p w:rsidR="00572D07" w:rsidRDefault="00992B38" w:rsidP="00AB1ED3">
            <w:pPr>
              <w:pStyle w:val="Testonotaapidipagina"/>
              <w:jc w:val="center"/>
              <w:rPr>
                <w:sz w:val="18"/>
                <w:szCs w:val="18"/>
              </w:rPr>
            </w:pPr>
            <w:r>
              <w:rPr>
                <w:sz w:val="18"/>
                <w:szCs w:val="18"/>
              </w:rPr>
              <w:t>30,1</w:t>
            </w:r>
          </w:p>
        </w:tc>
        <w:tc>
          <w:tcPr>
            <w:tcW w:w="558" w:type="pct"/>
            <w:shd w:val="clear" w:color="auto" w:fill="auto"/>
          </w:tcPr>
          <w:p w:rsidR="00572D07" w:rsidRDefault="00992B38" w:rsidP="00AB1ED3">
            <w:pPr>
              <w:pStyle w:val="Testonotaapidipagina"/>
              <w:jc w:val="center"/>
              <w:rPr>
                <w:sz w:val="18"/>
                <w:szCs w:val="18"/>
              </w:rPr>
            </w:pPr>
            <w:r>
              <w:rPr>
                <w:sz w:val="18"/>
                <w:szCs w:val="18"/>
              </w:rPr>
              <w:t>30,7</w:t>
            </w:r>
          </w:p>
        </w:tc>
      </w:tr>
    </w:tbl>
    <w:p w:rsidR="000E38CC" w:rsidRDefault="000E38CC" w:rsidP="00A634F4">
      <w:pPr>
        <w:pStyle w:val="Testonotaapidipagina"/>
        <w:jc w:val="both"/>
        <w:rPr>
          <w:sz w:val="18"/>
          <w:szCs w:val="18"/>
        </w:rPr>
      </w:pPr>
    </w:p>
    <w:p w:rsidR="001F370A" w:rsidRDefault="001F370A" w:rsidP="00A634F4">
      <w:pPr>
        <w:pStyle w:val="Testonotaapidipagina"/>
        <w:jc w:val="both"/>
        <w:rPr>
          <w:sz w:val="18"/>
          <w:szCs w:val="18"/>
        </w:rPr>
      </w:pPr>
    </w:p>
    <w:p w:rsidR="001F370A" w:rsidRDefault="001F370A" w:rsidP="00A634F4">
      <w:pPr>
        <w:pStyle w:val="Testonotaapidipagina"/>
        <w:jc w:val="both"/>
        <w:rPr>
          <w:sz w:val="18"/>
          <w:szCs w:val="18"/>
        </w:rPr>
      </w:pPr>
    </w:p>
    <w:p w:rsidR="008151DE" w:rsidRDefault="00E66E43" w:rsidP="00E66E43">
      <w:pPr>
        <w:pStyle w:val="Testonotaapidipagina"/>
        <w:jc w:val="center"/>
        <w:rPr>
          <w:sz w:val="18"/>
          <w:szCs w:val="18"/>
        </w:rPr>
      </w:pPr>
      <w:r>
        <w:rPr>
          <w:noProof/>
          <w:lang w:eastAsia="it-IT"/>
        </w:rPr>
        <w:lastRenderedPageBreak/>
        <w:drawing>
          <wp:inline distT="0" distB="0" distL="0" distR="0" wp14:anchorId="6C47475E" wp14:editId="15DC0857">
            <wp:extent cx="4261450" cy="2147978"/>
            <wp:effectExtent l="0" t="0" r="25400" b="24130"/>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D5355" w:rsidRDefault="002D5355" w:rsidP="00A634F4">
      <w:pPr>
        <w:pStyle w:val="Testonotaapidipagina"/>
        <w:jc w:val="both"/>
        <w:rPr>
          <w:sz w:val="18"/>
          <w:szCs w:val="18"/>
        </w:rPr>
      </w:pPr>
    </w:p>
    <w:p w:rsidR="001F370A" w:rsidRDefault="001F370A" w:rsidP="00BD5FD7">
      <w:pPr>
        <w:spacing w:line="360" w:lineRule="auto"/>
        <w:jc w:val="both"/>
      </w:pPr>
    </w:p>
    <w:p w:rsidR="00BD5FD7" w:rsidRDefault="008151DE" w:rsidP="00BD5FD7">
      <w:pPr>
        <w:spacing w:line="360" w:lineRule="auto"/>
        <w:jc w:val="both"/>
      </w:pPr>
      <w:r w:rsidRPr="008151DE">
        <w:t>Pe</w:t>
      </w:r>
      <w:r w:rsidR="00565B25">
        <w:t>r quanto riguarda il criterio B, il  riferimento a</w:t>
      </w:r>
      <w:r w:rsidR="005E7D2A">
        <w:t>l</w:t>
      </w:r>
      <w:r w:rsidR="00565B25">
        <w:t xml:space="preserve"> “potenziamento delle competenze degli alunni” ha indotto alcune scuole  a inserire in  quest’area attività quali  </w:t>
      </w:r>
      <w:r w:rsidR="00223C49">
        <w:t>il recupero</w:t>
      </w:r>
      <w:r w:rsidR="002F2817">
        <w:t>, l’ampliamento dell’offerta formativa</w:t>
      </w:r>
      <w:r w:rsidR="00223C49">
        <w:t xml:space="preserve"> o la partecipazione a gare e concorsi che,  invece, la  maggior parte delle istituzioni scolastiche ha inserito nell’ambito del criterio A. </w:t>
      </w:r>
      <w:r w:rsidR="00BD5FD7">
        <w:t xml:space="preserve"> </w:t>
      </w:r>
      <w:r w:rsidR="00BD5FD7" w:rsidRPr="00BD5FD7">
        <w:t>Si verifica, quindi, una certa, sovrapposizione tra il criterio A e B, ma</w:t>
      </w:r>
      <w:r w:rsidR="00BD5FD7">
        <w:rPr>
          <w:i/>
        </w:rPr>
        <w:t xml:space="preserve"> </w:t>
      </w:r>
      <w:r w:rsidR="00BD5FD7">
        <w:t xml:space="preserve"> la questione pare inevitabile considerando la novità del percorso</w:t>
      </w:r>
      <w:r w:rsidR="005113A0">
        <w:t xml:space="preserve">  e l’esistenza, quindi, di alcune incertezze di tipo interpretativo</w:t>
      </w:r>
      <w:r w:rsidR="00BD5FD7">
        <w:t xml:space="preserve">. E’ comunque importate segnalare come i criteri individuati, nella maggior parte dei casi,  facciano ancora una volta esplicito riferimento alle attività che la scuola realizza. I dati evidenziano, comunque, come tutto il ventaglio delle </w:t>
      </w:r>
      <w:r w:rsidR="005113A0">
        <w:t xml:space="preserve">possibili </w:t>
      </w:r>
      <w:r w:rsidR="00BD5FD7">
        <w:t xml:space="preserve">opzioni sia stato utilizzato. </w:t>
      </w:r>
    </w:p>
    <w:p w:rsidR="001F370A" w:rsidRDefault="00223C49" w:rsidP="008151DE">
      <w:pPr>
        <w:pStyle w:val="Testonotaapidipagina"/>
        <w:spacing w:line="360" w:lineRule="auto"/>
        <w:jc w:val="both"/>
        <w:rPr>
          <w:sz w:val="22"/>
          <w:szCs w:val="22"/>
        </w:rPr>
      </w:pPr>
      <w:r>
        <w:rPr>
          <w:sz w:val="22"/>
          <w:szCs w:val="22"/>
        </w:rPr>
        <w:t xml:space="preserve">La voce che più ricorre in entrambi i cicli è quella dell’utilizzo delle </w:t>
      </w:r>
      <w:r w:rsidR="005113A0">
        <w:rPr>
          <w:sz w:val="22"/>
          <w:szCs w:val="22"/>
        </w:rPr>
        <w:t xml:space="preserve">nuove </w:t>
      </w:r>
      <w:r>
        <w:rPr>
          <w:sz w:val="22"/>
          <w:szCs w:val="22"/>
        </w:rPr>
        <w:t xml:space="preserve">tecnologie per </w:t>
      </w:r>
      <w:r w:rsidR="002F2817">
        <w:rPr>
          <w:sz w:val="22"/>
          <w:szCs w:val="22"/>
        </w:rPr>
        <w:t>realizzare</w:t>
      </w:r>
      <w:r>
        <w:rPr>
          <w:sz w:val="22"/>
          <w:szCs w:val="22"/>
        </w:rPr>
        <w:t xml:space="preserve"> una didattica più partecipativa</w:t>
      </w:r>
      <w:r w:rsidR="00313C35">
        <w:rPr>
          <w:sz w:val="22"/>
          <w:szCs w:val="22"/>
        </w:rPr>
        <w:t xml:space="preserve"> e</w:t>
      </w:r>
      <w:r>
        <w:rPr>
          <w:sz w:val="22"/>
          <w:szCs w:val="22"/>
        </w:rPr>
        <w:t xml:space="preserve"> alternativa alla lezione frontale. Alla stessa esigenza rispond</w:t>
      </w:r>
      <w:r w:rsidR="00313C35">
        <w:rPr>
          <w:sz w:val="22"/>
          <w:szCs w:val="22"/>
        </w:rPr>
        <w:t>e</w:t>
      </w:r>
      <w:r w:rsidR="005113A0">
        <w:rPr>
          <w:sz w:val="22"/>
          <w:szCs w:val="22"/>
        </w:rPr>
        <w:t xml:space="preserve"> </w:t>
      </w:r>
      <w:r w:rsidR="00313C35">
        <w:rPr>
          <w:sz w:val="22"/>
          <w:szCs w:val="22"/>
        </w:rPr>
        <w:t>l’attenzione allo  sviluppo del</w:t>
      </w:r>
      <w:r>
        <w:rPr>
          <w:sz w:val="22"/>
          <w:szCs w:val="22"/>
        </w:rPr>
        <w:t>le attività di carattere  laboratoriale e per gruppi. Trovano spazio in quest’area le attività a supporto all’alternanza scuola/lavoro</w:t>
      </w:r>
      <w:r w:rsidR="005E7D2A">
        <w:rPr>
          <w:rStyle w:val="Rimandonotaapidipagina"/>
          <w:sz w:val="22"/>
          <w:szCs w:val="22"/>
        </w:rPr>
        <w:footnoteReference w:id="10"/>
      </w:r>
      <w:r>
        <w:rPr>
          <w:sz w:val="22"/>
          <w:szCs w:val="22"/>
        </w:rPr>
        <w:t xml:space="preserve">  e</w:t>
      </w:r>
      <w:r w:rsidR="00B90AC0">
        <w:rPr>
          <w:sz w:val="22"/>
          <w:szCs w:val="22"/>
        </w:rPr>
        <w:t>, in qualche caso,</w:t>
      </w:r>
      <w:r>
        <w:rPr>
          <w:sz w:val="22"/>
          <w:szCs w:val="22"/>
        </w:rPr>
        <w:t xml:space="preserve"> le iniziative per l’orientamento. Fa la sua comparsa anche il</w:t>
      </w:r>
      <w:r w:rsidR="00A81422">
        <w:rPr>
          <w:sz w:val="22"/>
          <w:szCs w:val="22"/>
        </w:rPr>
        <w:t xml:space="preserve"> CLIL</w:t>
      </w:r>
      <w:r>
        <w:rPr>
          <w:sz w:val="22"/>
          <w:szCs w:val="22"/>
        </w:rPr>
        <w:t xml:space="preserve">, considerato dal 27,9% delle scuole, non tutte necessariamente istituti superiori. </w:t>
      </w:r>
      <w:r w:rsidR="002F2817">
        <w:rPr>
          <w:sz w:val="22"/>
          <w:szCs w:val="22"/>
        </w:rPr>
        <w:t>Molt</w:t>
      </w:r>
      <w:r w:rsidR="005113A0">
        <w:rPr>
          <w:sz w:val="22"/>
          <w:szCs w:val="22"/>
        </w:rPr>
        <w:t>e</w:t>
      </w:r>
      <w:r w:rsidR="002F2817">
        <w:rPr>
          <w:sz w:val="22"/>
          <w:szCs w:val="22"/>
        </w:rPr>
        <w:t xml:space="preserve"> </w:t>
      </w:r>
      <w:r w:rsidR="005113A0">
        <w:rPr>
          <w:sz w:val="22"/>
          <w:szCs w:val="22"/>
        </w:rPr>
        <w:t>scuole</w:t>
      </w:r>
      <w:r w:rsidR="002F2817">
        <w:rPr>
          <w:sz w:val="22"/>
          <w:szCs w:val="22"/>
        </w:rPr>
        <w:t xml:space="preserve"> (in media il  36%) inserisc</w:t>
      </w:r>
      <w:r w:rsidR="005113A0">
        <w:rPr>
          <w:sz w:val="22"/>
          <w:szCs w:val="22"/>
        </w:rPr>
        <w:t>ono</w:t>
      </w:r>
      <w:r w:rsidR="002F2817">
        <w:rPr>
          <w:sz w:val="22"/>
          <w:szCs w:val="22"/>
        </w:rPr>
        <w:t xml:space="preserve"> nel criterio B anche la valorizzazione </w:t>
      </w:r>
      <w:r w:rsidR="005113A0">
        <w:rPr>
          <w:sz w:val="22"/>
          <w:szCs w:val="22"/>
        </w:rPr>
        <w:t>del lavoro</w:t>
      </w:r>
      <w:r w:rsidR="002F2817">
        <w:rPr>
          <w:sz w:val="22"/>
          <w:szCs w:val="22"/>
        </w:rPr>
        <w:t xml:space="preserve"> svolt</w:t>
      </w:r>
      <w:r w:rsidR="005113A0">
        <w:rPr>
          <w:sz w:val="22"/>
          <w:szCs w:val="22"/>
        </w:rPr>
        <w:t>o</w:t>
      </w:r>
      <w:r w:rsidR="002F2817">
        <w:rPr>
          <w:sz w:val="22"/>
          <w:szCs w:val="22"/>
        </w:rPr>
        <w:t xml:space="preserve"> dai docenti per la progettazione e l’effettuazione delle visite e dei viaggi d’istruzione</w:t>
      </w:r>
      <w:r w:rsidR="005113A0">
        <w:rPr>
          <w:sz w:val="22"/>
          <w:szCs w:val="22"/>
        </w:rPr>
        <w:t>, che invece costituisce un’attività non particolarmente caratterizzata da aspetti di innovazione</w:t>
      </w:r>
      <w:r w:rsidR="002F2817">
        <w:rPr>
          <w:sz w:val="22"/>
          <w:szCs w:val="22"/>
        </w:rPr>
        <w:t>.</w:t>
      </w:r>
      <w:r>
        <w:rPr>
          <w:sz w:val="22"/>
          <w:szCs w:val="22"/>
        </w:rPr>
        <w:t xml:space="preserve">    </w:t>
      </w:r>
    </w:p>
    <w:p w:rsidR="00A81422" w:rsidRDefault="00A81422" w:rsidP="008151DE">
      <w:pPr>
        <w:pStyle w:val="Testonotaapidipagina"/>
        <w:spacing w:line="360" w:lineRule="auto"/>
        <w:jc w:val="both"/>
        <w:rPr>
          <w:sz w:val="22"/>
          <w:szCs w:val="22"/>
        </w:rPr>
      </w:pPr>
    </w:p>
    <w:p w:rsidR="000E38CC" w:rsidRDefault="00AB1ED3" w:rsidP="00A634F4">
      <w:pPr>
        <w:pStyle w:val="Testonotaapidipagina"/>
        <w:jc w:val="both"/>
        <w:rPr>
          <w:sz w:val="18"/>
          <w:szCs w:val="18"/>
        </w:rPr>
      </w:pPr>
      <w:r w:rsidRPr="004E23CC">
        <w:rPr>
          <w:sz w:val="18"/>
          <w:szCs w:val="18"/>
        </w:rPr>
        <w:t>CRITERIO B: risultati ottenuti dal docente o dal gruppo di docenti in relazione al potenziamento delle competenze degli alunni e dell'innovazione didattica e metodologica, nonché della collaborazione alla ricerca didattica, alla documentazione e alla diffusione</w:t>
      </w:r>
      <w:r w:rsidR="005113D7">
        <w:rPr>
          <w:sz w:val="18"/>
          <w:szCs w:val="18"/>
        </w:rPr>
        <w:t xml:space="preserve"> di buone pratiche didattiche</w:t>
      </w:r>
    </w:p>
    <w:tbl>
      <w:tblPr>
        <w:tblStyle w:val="Grigliatabella"/>
        <w:tblW w:w="5000" w:type="pct"/>
        <w:tblLook w:val="04A0" w:firstRow="1" w:lastRow="0" w:firstColumn="1" w:lastColumn="0" w:noHBand="0" w:noVBand="1"/>
      </w:tblPr>
      <w:tblGrid>
        <w:gridCol w:w="6630"/>
        <w:gridCol w:w="1198"/>
        <w:gridCol w:w="948"/>
        <w:gridCol w:w="1078"/>
      </w:tblGrid>
      <w:tr w:rsidR="009A091C" w:rsidTr="00AB1ED3">
        <w:tc>
          <w:tcPr>
            <w:tcW w:w="3364" w:type="pct"/>
          </w:tcPr>
          <w:p w:rsidR="009A091C" w:rsidRDefault="00AB1ED3" w:rsidP="00A634F4">
            <w:pPr>
              <w:pStyle w:val="Testonotaapidipagina"/>
              <w:jc w:val="both"/>
              <w:rPr>
                <w:sz w:val="18"/>
                <w:szCs w:val="18"/>
              </w:rPr>
            </w:pPr>
            <w:r w:rsidRPr="00AB1ED3">
              <w:rPr>
                <w:sz w:val="18"/>
                <w:szCs w:val="18"/>
              </w:rPr>
              <w:t>POTENZIAMENTO DELLE COMPETENZE E INNOVAZIONE DIDATTICA</w:t>
            </w:r>
          </w:p>
        </w:tc>
        <w:tc>
          <w:tcPr>
            <w:tcW w:w="608" w:type="pct"/>
          </w:tcPr>
          <w:p w:rsidR="009A091C" w:rsidRPr="00A634F4" w:rsidRDefault="009A091C" w:rsidP="00AF257D">
            <w:pPr>
              <w:jc w:val="center"/>
              <w:rPr>
                <w:sz w:val="18"/>
                <w:szCs w:val="18"/>
              </w:rPr>
            </w:pPr>
            <w:r>
              <w:rPr>
                <w:sz w:val="18"/>
                <w:szCs w:val="18"/>
              </w:rPr>
              <w:t>Globale</w:t>
            </w:r>
          </w:p>
        </w:tc>
        <w:tc>
          <w:tcPr>
            <w:tcW w:w="481" w:type="pct"/>
          </w:tcPr>
          <w:p w:rsidR="009A091C" w:rsidRPr="00A634F4" w:rsidRDefault="009A091C" w:rsidP="00AF257D">
            <w:pPr>
              <w:jc w:val="center"/>
              <w:rPr>
                <w:sz w:val="18"/>
                <w:szCs w:val="18"/>
              </w:rPr>
            </w:pPr>
            <w:r>
              <w:rPr>
                <w:sz w:val="18"/>
                <w:szCs w:val="18"/>
              </w:rPr>
              <w:t>I ciclo</w:t>
            </w:r>
          </w:p>
        </w:tc>
        <w:tc>
          <w:tcPr>
            <w:tcW w:w="547" w:type="pct"/>
          </w:tcPr>
          <w:p w:rsidR="009A091C" w:rsidRPr="00A634F4" w:rsidRDefault="009A091C" w:rsidP="00AF257D">
            <w:pPr>
              <w:jc w:val="center"/>
              <w:rPr>
                <w:sz w:val="18"/>
                <w:szCs w:val="18"/>
              </w:rPr>
            </w:pPr>
            <w:r>
              <w:rPr>
                <w:sz w:val="18"/>
                <w:szCs w:val="18"/>
              </w:rPr>
              <w:t>II  ciclo</w:t>
            </w:r>
          </w:p>
        </w:tc>
      </w:tr>
      <w:tr w:rsidR="009A091C" w:rsidTr="00AB1ED3">
        <w:tc>
          <w:tcPr>
            <w:tcW w:w="3364" w:type="pct"/>
          </w:tcPr>
          <w:p w:rsidR="009A091C" w:rsidRDefault="009A091C" w:rsidP="00A634F4">
            <w:pPr>
              <w:pStyle w:val="Testonotaapidipagina"/>
              <w:jc w:val="both"/>
              <w:rPr>
                <w:sz w:val="18"/>
                <w:szCs w:val="18"/>
              </w:rPr>
            </w:pPr>
            <w:r w:rsidRPr="009A091C">
              <w:rPr>
                <w:sz w:val="18"/>
                <w:szCs w:val="18"/>
              </w:rPr>
              <w:t>recupero, potenziamento, ampliamento offerta formativa</w:t>
            </w:r>
          </w:p>
        </w:tc>
        <w:tc>
          <w:tcPr>
            <w:tcW w:w="608" w:type="pct"/>
          </w:tcPr>
          <w:p w:rsidR="009A091C" w:rsidRDefault="00992B38" w:rsidP="00992B38">
            <w:pPr>
              <w:pStyle w:val="Testonotaapidipagina"/>
              <w:jc w:val="center"/>
              <w:rPr>
                <w:sz w:val="18"/>
                <w:szCs w:val="18"/>
              </w:rPr>
            </w:pPr>
            <w:r>
              <w:rPr>
                <w:sz w:val="18"/>
                <w:szCs w:val="18"/>
              </w:rPr>
              <w:t>66,4</w:t>
            </w:r>
          </w:p>
        </w:tc>
        <w:tc>
          <w:tcPr>
            <w:tcW w:w="481" w:type="pct"/>
          </w:tcPr>
          <w:p w:rsidR="009A091C" w:rsidRDefault="00992B38" w:rsidP="00992B38">
            <w:pPr>
              <w:pStyle w:val="Testonotaapidipagina"/>
              <w:jc w:val="center"/>
              <w:rPr>
                <w:sz w:val="18"/>
                <w:szCs w:val="18"/>
              </w:rPr>
            </w:pPr>
            <w:r>
              <w:rPr>
                <w:sz w:val="18"/>
                <w:szCs w:val="18"/>
              </w:rPr>
              <w:t>66,2</w:t>
            </w:r>
          </w:p>
        </w:tc>
        <w:tc>
          <w:tcPr>
            <w:tcW w:w="547" w:type="pct"/>
          </w:tcPr>
          <w:p w:rsidR="009A091C" w:rsidRDefault="00992B38" w:rsidP="00992B38">
            <w:pPr>
              <w:pStyle w:val="Testonotaapidipagina"/>
              <w:jc w:val="center"/>
              <w:rPr>
                <w:sz w:val="18"/>
                <w:szCs w:val="18"/>
              </w:rPr>
            </w:pPr>
            <w:r>
              <w:rPr>
                <w:sz w:val="18"/>
                <w:szCs w:val="18"/>
              </w:rPr>
              <w:t>61,5</w:t>
            </w:r>
          </w:p>
        </w:tc>
      </w:tr>
      <w:tr w:rsidR="009A091C" w:rsidTr="00AB1ED3">
        <w:tc>
          <w:tcPr>
            <w:tcW w:w="3364" w:type="pct"/>
          </w:tcPr>
          <w:p w:rsidR="009A091C" w:rsidRDefault="009A091C" w:rsidP="00A634F4">
            <w:pPr>
              <w:pStyle w:val="Testonotaapidipagina"/>
              <w:jc w:val="both"/>
              <w:rPr>
                <w:sz w:val="18"/>
                <w:szCs w:val="18"/>
              </w:rPr>
            </w:pPr>
            <w:r w:rsidRPr="009A091C">
              <w:rPr>
                <w:sz w:val="18"/>
                <w:szCs w:val="18"/>
              </w:rPr>
              <w:t>concorsi, gare, eventi</w:t>
            </w:r>
          </w:p>
        </w:tc>
        <w:tc>
          <w:tcPr>
            <w:tcW w:w="608" w:type="pct"/>
          </w:tcPr>
          <w:p w:rsidR="009A091C" w:rsidRDefault="00992B38" w:rsidP="00992B38">
            <w:pPr>
              <w:pStyle w:val="Testonotaapidipagina"/>
              <w:jc w:val="center"/>
              <w:rPr>
                <w:sz w:val="18"/>
                <w:szCs w:val="18"/>
              </w:rPr>
            </w:pPr>
            <w:r>
              <w:rPr>
                <w:sz w:val="18"/>
                <w:szCs w:val="18"/>
              </w:rPr>
              <w:t>46</w:t>
            </w:r>
          </w:p>
        </w:tc>
        <w:tc>
          <w:tcPr>
            <w:tcW w:w="481" w:type="pct"/>
          </w:tcPr>
          <w:p w:rsidR="009A091C" w:rsidRDefault="00992B38" w:rsidP="00992B38">
            <w:pPr>
              <w:pStyle w:val="Testonotaapidipagina"/>
              <w:jc w:val="center"/>
              <w:rPr>
                <w:sz w:val="18"/>
                <w:szCs w:val="18"/>
              </w:rPr>
            </w:pPr>
            <w:r>
              <w:rPr>
                <w:sz w:val="18"/>
                <w:szCs w:val="18"/>
              </w:rPr>
              <w:t>50,6</w:t>
            </w:r>
          </w:p>
        </w:tc>
        <w:tc>
          <w:tcPr>
            <w:tcW w:w="547" w:type="pct"/>
          </w:tcPr>
          <w:p w:rsidR="009A091C" w:rsidRDefault="00992B38" w:rsidP="00992B38">
            <w:pPr>
              <w:pStyle w:val="Testonotaapidipagina"/>
              <w:jc w:val="center"/>
              <w:rPr>
                <w:sz w:val="18"/>
                <w:szCs w:val="18"/>
              </w:rPr>
            </w:pPr>
            <w:r>
              <w:rPr>
                <w:sz w:val="18"/>
                <w:szCs w:val="18"/>
              </w:rPr>
              <w:t>35,9</w:t>
            </w:r>
          </w:p>
        </w:tc>
      </w:tr>
      <w:tr w:rsidR="009A091C" w:rsidTr="00AB1ED3">
        <w:tc>
          <w:tcPr>
            <w:tcW w:w="3364" w:type="pct"/>
          </w:tcPr>
          <w:p w:rsidR="009A091C" w:rsidRDefault="009A091C" w:rsidP="00A634F4">
            <w:pPr>
              <w:pStyle w:val="Testonotaapidipagina"/>
              <w:jc w:val="both"/>
              <w:rPr>
                <w:sz w:val="18"/>
                <w:szCs w:val="18"/>
              </w:rPr>
            </w:pPr>
            <w:r w:rsidRPr="009A091C">
              <w:rPr>
                <w:sz w:val="18"/>
                <w:szCs w:val="18"/>
              </w:rPr>
              <w:t>partecipazione a gruppi di lavoro</w:t>
            </w:r>
          </w:p>
        </w:tc>
        <w:tc>
          <w:tcPr>
            <w:tcW w:w="608" w:type="pct"/>
          </w:tcPr>
          <w:p w:rsidR="009A091C" w:rsidRDefault="00992B38" w:rsidP="00992B38">
            <w:pPr>
              <w:pStyle w:val="Testonotaapidipagina"/>
              <w:jc w:val="center"/>
              <w:rPr>
                <w:sz w:val="18"/>
                <w:szCs w:val="18"/>
              </w:rPr>
            </w:pPr>
            <w:r>
              <w:rPr>
                <w:sz w:val="18"/>
                <w:szCs w:val="18"/>
              </w:rPr>
              <w:t>44</w:t>
            </w:r>
            <w:r w:rsidR="00BD17D5">
              <w:rPr>
                <w:sz w:val="18"/>
                <w:szCs w:val="18"/>
              </w:rPr>
              <w:t>,3</w:t>
            </w:r>
          </w:p>
        </w:tc>
        <w:tc>
          <w:tcPr>
            <w:tcW w:w="481" w:type="pct"/>
          </w:tcPr>
          <w:p w:rsidR="009A091C" w:rsidRDefault="00BD17D5" w:rsidP="00992B38">
            <w:pPr>
              <w:pStyle w:val="Testonotaapidipagina"/>
              <w:jc w:val="center"/>
              <w:rPr>
                <w:sz w:val="18"/>
                <w:szCs w:val="18"/>
              </w:rPr>
            </w:pPr>
            <w:r>
              <w:rPr>
                <w:sz w:val="18"/>
                <w:szCs w:val="18"/>
              </w:rPr>
              <w:t>44,6</w:t>
            </w:r>
          </w:p>
        </w:tc>
        <w:tc>
          <w:tcPr>
            <w:tcW w:w="547" w:type="pct"/>
          </w:tcPr>
          <w:p w:rsidR="009A091C" w:rsidRDefault="00BD17D5" w:rsidP="00992B38">
            <w:pPr>
              <w:pStyle w:val="Testonotaapidipagina"/>
              <w:jc w:val="center"/>
              <w:rPr>
                <w:sz w:val="18"/>
                <w:szCs w:val="18"/>
              </w:rPr>
            </w:pPr>
            <w:r>
              <w:rPr>
                <w:sz w:val="18"/>
                <w:szCs w:val="18"/>
              </w:rPr>
              <w:t>43,6</w:t>
            </w:r>
          </w:p>
        </w:tc>
      </w:tr>
      <w:tr w:rsidR="009A091C" w:rsidTr="00AB1ED3">
        <w:tc>
          <w:tcPr>
            <w:tcW w:w="3364" w:type="pct"/>
          </w:tcPr>
          <w:p w:rsidR="009A091C" w:rsidRDefault="009A091C" w:rsidP="00A634F4">
            <w:pPr>
              <w:pStyle w:val="Testonotaapidipagina"/>
              <w:jc w:val="both"/>
              <w:rPr>
                <w:sz w:val="18"/>
                <w:szCs w:val="18"/>
              </w:rPr>
            </w:pPr>
            <w:r w:rsidRPr="009A091C">
              <w:rPr>
                <w:sz w:val="18"/>
                <w:szCs w:val="18"/>
              </w:rPr>
              <w:t>partecipazione a bandi</w:t>
            </w:r>
          </w:p>
        </w:tc>
        <w:tc>
          <w:tcPr>
            <w:tcW w:w="608" w:type="pct"/>
          </w:tcPr>
          <w:p w:rsidR="009A091C" w:rsidRDefault="00BD17D5" w:rsidP="00992B38">
            <w:pPr>
              <w:pStyle w:val="Testonotaapidipagina"/>
              <w:jc w:val="center"/>
              <w:rPr>
                <w:sz w:val="18"/>
                <w:szCs w:val="18"/>
              </w:rPr>
            </w:pPr>
            <w:r>
              <w:rPr>
                <w:sz w:val="18"/>
                <w:szCs w:val="18"/>
              </w:rPr>
              <w:t>49,2</w:t>
            </w:r>
          </w:p>
        </w:tc>
        <w:tc>
          <w:tcPr>
            <w:tcW w:w="481" w:type="pct"/>
          </w:tcPr>
          <w:p w:rsidR="009A091C" w:rsidRDefault="00BD17D5" w:rsidP="00992B38">
            <w:pPr>
              <w:pStyle w:val="Testonotaapidipagina"/>
              <w:jc w:val="center"/>
              <w:rPr>
                <w:sz w:val="18"/>
                <w:szCs w:val="18"/>
              </w:rPr>
            </w:pPr>
            <w:r>
              <w:rPr>
                <w:sz w:val="18"/>
                <w:szCs w:val="18"/>
              </w:rPr>
              <w:t>54,2</w:t>
            </w:r>
          </w:p>
        </w:tc>
        <w:tc>
          <w:tcPr>
            <w:tcW w:w="547" w:type="pct"/>
          </w:tcPr>
          <w:p w:rsidR="009A091C" w:rsidRDefault="00BD17D5" w:rsidP="00992B38">
            <w:pPr>
              <w:pStyle w:val="Testonotaapidipagina"/>
              <w:jc w:val="center"/>
              <w:rPr>
                <w:sz w:val="18"/>
                <w:szCs w:val="18"/>
              </w:rPr>
            </w:pPr>
            <w:r>
              <w:rPr>
                <w:sz w:val="18"/>
                <w:szCs w:val="18"/>
              </w:rPr>
              <w:t>38,5</w:t>
            </w:r>
          </w:p>
        </w:tc>
      </w:tr>
      <w:tr w:rsidR="009A091C" w:rsidTr="00AB1ED3">
        <w:tc>
          <w:tcPr>
            <w:tcW w:w="3364" w:type="pct"/>
          </w:tcPr>
          <w:p w:rsidR="009A091C" w:rsidRDefault="009A091C" w:rsidP="00A634F4">
            <w:pPr>
              <w:pStyle w:val="Testonotaapidipagina"/>
              <w:jc w:val="both"/>
              <w:rPr>
                <w:sz w:val="18"/>
                <w:szCs w:val="18"/>
              </w:rPr>
            </w:pPr>
            <w:r w:rsidRPr="009A091C">
              <w:rPr>
                <w:sz w:val="18"/>
                <w:szCs w:val="18"/>
              </w:rPr>
              <w:lastRenderedPageBreak/>
              <w:t>viaggi e visite</w:t>
            </w:r>
          </w:p>
        </w:tc>
        <w:tc>
          <w:tcPr>
            <w:tcW w:w="608" w:type="pct"/>
          </w:tcPr>
          <w:p w:rsidR="009A091C" w:rsidRDefault="00BD17D5" w:rsidP="00992B38">
            <w:pPr>
              <w:pStyle w:val="Testonotaapidipagina"/>
              <w:jc w:val="center"/>
              <w:rPr>
                <w:sz w:val="18"/>
                <w:szCs w:val="18"/>
              </w:rPr>
            </w:pPr>
            <w:r>
              <w:rPr>
                <w:sz w:val="18"/>
                <w:szCs w:val="18"/>
              </w:rPr>
              <w:t>36</w:t>
            </w:r>
          </w:p>
        </w:tc>
        <w:tc>
          <w:tcPr>
            <w:tcW w:w="481" w:type="pct"/>
          </w:tcPr>
          <w:p w:rsidR="009A091C" w:rsidRDefault="00BD17D5" w:rsidP="00992B38">
            <w:pPr>
              <w:pStyle w:val="Testonotaapidipagina"/>
              <w:jc w:val="center"/>
              <w:rPr>
                <w:sz w:val="18"/>
                <w:szCs w:val="18"/>
              </w:rPr>
            </w:pPr>
            <w:r>
              <w:rPr>
                <w:sz w:val="18"/>
                <w:szCs w:val="18"/>
              </w:rPr>
              <w:t>38,5</w:t>
            </w:r>
          </w:p>
        </w:tc>
        <w:tc>
          <w:tcPr>
            <w:tcW w:w="547" w:type="pct"/>
          </w:tcPr>
          <w:p w:rsidR="009A091C" w:rsidRDefault="00BD17D5" w:rsidP="00992B38">
            <w:pPr>
              <w:pStyle w:val="Testonotaapidipagina"/>
              <w:jc w:val="center"/>
              <w:rPr>
                <w:sz w:val="18"/>
                <w:szCs w:val="18"/>
              </w:rPr>
            </w:pPr>
            <w:r>
              <w:rPr>
                <w:sz w:val="18"/>
                <w:szCs w:val="18"/>
              </w:rPr>
              <w:t>30,8</w:t>
            </w:r>
          </w:p>
        </w:tc>
      </w:tr>
      <w:tr w:rsidR="009A091C" w:rsidTr="0068067E">
        <w:tc>
          <w:tcPr>
            <w:tcW w:w="3364" w:type="pct"/>
          </w:tcPr>
          <w:p w:rsidR="009A091C" w:rsidRDefault="00AB1ED3" w:rsidP="008151DE">
            <w:pPr>
              <w:pStyle w:val="Testonotaapidipagina"/>
              <w:jc w:val="both"/>
              <w:rPr>
                <w:sz w:val="18"/>
                <w:szCs w:val="18"/>
              </w:rPr>
            </w:pPr>
            <w:r w:rsidRPr="00AB1ED3">
              <w:rPr>
                <w:sz w:val="18"/>
                <w:szCs w:val="18"/>
              </w:rPr>
              <w:t>orientamento</w:t>
            </w:r>
          </w:p>
        </w:tc>
        <w:tc>
          <w:tcPr>
            <w:tcW w:w="608" w:type="pct"/>
          </w:tcPr>
          <w:p w:rsidR="009A091C" w:rsidRDefault="00BD17D5" w:rsidP="008151DE">
            <w:pPr>
              <w:pStyle w:val="Testonotaapidipagina"/>
              <w:jc w:val="center"/>
              <w:rPr>
                <w:sz w:val="18"/>
                <w:szCs w:val="18"/>
              </w:rPr>
            </w:pPr>
            <w:r>
              <w:rPr>
                <w:sz w:val="18"/>
                <w:szCs w:val="18"/>
              </w:rPr>
              <w:t>18,8</w:t>
            </w:r>
          </w:p>
        </w:tc>
        <w:tc>
          <w:tcPr>
            <w:tcW w:w="481" w:type="pct"/>
            <w:shd w:val="clear" w:color="auto" w:fill="auto"/>
          </w:tcPr>
          <w:p w:rsidR="009A091C" w:rsidRDefault="00BD17D5" w:rsidP="008151DE">
            <w:pPr>
              <w:pStyle w:val="Testonotaapidipagina"/>
              <w:jc w:val="center"/>
              <w:rPr>
                <w:sz w:val="18"/>
                <w:szCs w:val="18"/>
              </w:rPr>
            </w:pPr>
            <w:r>
              <w:rPr>
                <w:sz w:val="18"/>
                <w:szCs w:val="18"/>
              </w:rPr>
              <w:t>12</w:t>
            </w:r>
          </w:p>
        </w:tc>
        <w:tc>
          <w:tcPr>
            <w:tcW w:w="547" w:type="pct"/>
            <w:shd w:val="clear" w:color="auto" w:fill="auto"/>
          </w:tcPr>
          <w:p w:rsidR="009A091C" w:rsidRDefault="00BD17D5" w:rsidP="008151DE">
            <w:pPr>
              <w:pStyle w:val="Testonotaapidipagina"/>
              <w:jc w:val="center"/>
              <w:rPr>
                <w:sz w:val="18"/>
                <w:szCs w:val="18"/>
              </w:rPr>
            </w:pPr>
            <w:r>
              <w:rPr>
                <w:sz w:val="18"/>
                <w:szCs w:val="18"/>
              </w:rPr>
              <w:t>33,3</w:t>
            </w:r>
          </w:p>
        </w:tc>
      </w:tr>
      <w:tr w:rsidR="009A091C" w:rsidTr="008151DE">
        <w:tc>
          <w:tcPr>
            <w:tcW w:w="3364" w:type="pct"/>
          </w:tcPr>
          <w:p w:rsidR="009A091C" w:rsidRDefault="00AB1ED3" w:rsidP="008151DE">
            <w:pPr>
              <w:pStyle w:val="Testonotaapidipagina"/>
              <w:jc w:val="both"/>
              <w:rPr>
                <w:sz w:val="18"/>
                <w:szCs w:val="18"/>
              </w:rPr>
            </w:pPr>
            <w:r w:rsidRPr="00AB1ED3">
              <w:rPr>
                <w:sz w:val="18"/>
                <w:szCs w:val="18"/>
              </w:rPr>
              <w:t>CLIL</w:t>
            </w:r>
          </w:p>
        </w:tc>
        <w:tc>
          <w:tcPr>
            <w:tcW w:w="608" w:type="pct"/>
            <w:shd w:val="clear" w:color="auto" w:fill="auto"/>
          </w:tcPr>
          <w:p w:rsidR="009A091C" w:rsidRDefault="00BD17D5" w:rsidP="008151DE">
            <w:pPr>
              <w:pStyle w:val="Testonotaapidipagina"/>
              <w:jc w:val="center"/>
              <w:rPr>
                <w:sz w:val="18"/>
                <w:szCs w:val="18"/>
              </w:rPr>
            </w:pPr>
            <w:r>
              <w:rPr>
                <w:sz w:val="18"/>
                <w:szCs w:val="18"/>
              </w:rPr>
              <w:t>27,9</w:t>
            </w:r>
          </w:p>
        </w:tc>
        <w:tc>
          <w:tcPr>
            <w:tcW w:w="481" w:type="pct"/>
            <w:shd w:val="clear" w:color="auto" w:fill="auto"/>
          </w:tcPr>
          <w:p w:rsidR="009A091C" w:rsidRDefault="00BD17D5" w:rsidP="008151DE">
            <w:pPr>
              <w:pStyle w:val="Testonotaapidipagina"/>
              <w:jc w:val="center"/>
              <w:rPr>
                <w:sz w:val="18"/>
                <w:szCs w:val="18"/>
              </w:rPr>
            </w:pPr>
            <w:r>
              <w:rPr>
                <w:sz w:val="18"/>
                <w:szCs w:val="18"/>
              </w:rPr>
              <w:t>27,7</w:t>
            </w:r>
          </w:p>
        </w:tc>
        <w:tc>
          <w:tcPr>
            <w:tcW w:w="547" w:type="pct"/>
            <w:shd w:val="clear" w:color="auto" w:fill="auto"/>
          </w:tcPr>
          <w:p w:rsidR="009A091C" w:rsidRDefault="00BD17D5" w:rsidP="008151DE">
            <w:pPr>
              <w:pStyle w:val="Testonotaapidipagina"/>
              <w:jc w:val="center"/>
              <w:rPr>
                <w:sz w:val="18"/>
                <w:szCs w:val="18"/>
              </w:rPr>
            </w:pPr>
            <w:r>
              <w:rPr>
                <w:sz w:val="18"/>
                <w:szCs w:val="18"/>
              </w:rPr>
              <w:t>28,2</w:t>
            </w:r>
          </w:p>
        </w:tc>
      </w:tr>
      <w:tr w:rsidR="009A091C" w:rsidTr="0068067E">
        <w:tc>
          <w:tcPr>
            <w:tcW w:w="3364" w:type="pct"/>
          </w:tcPr>
          <w:p w:rsidR="009A091C" w:rsidRDefault="00AB1ED3" w:rsidP="008151DE">
            <w:pPr>
              <w:pStyle w:val="Testonotaapidipagina"/>
              <w:jc w:val="both"/>
              <w:rPr>
                <w:sz w:val="18"/>
                <w:szCs w:val="18"/>
              </w:rPr>
            </w:pPr>
            <w:r w:rsidRPr="00AB1ED3">
              <w:rPr>
                <w:sz w:val="18"/>
                <w:szCs w:val="18"/>
              </w:rPr>
              <w:t>TIC</w:t>
            </w:r>
          </w:p>
        </w:tc>
        <w:tc>
          <w:tcPr>
            <w:tcW w:w="608" w:type="pct"/>
          </w:tcPr>
          <w:p w:rsidR="009A091C" w:rsidRDefault="00BD17D5" w:rsidP="008151DE">
            <w:pPr>
              <w:pStyle w:val="Testonotaapidipagina"/>
              <w:jc w:val="center"/>
              <w:rPr>
                <w:sz w:val="18"/>
                <w:szCs w:val="18"/>
              </w:rPr>
            </w:pPr>
            <w:r>
              <w:rPr>
                <w:sz w:val="18"/>
                <w:szCs w:val="18"/>
              </w:rPr>
              <w:t>74,6</w:t>
            </w:r>
          </w:p>
        </w:tc>
        <w:tc>
          <w:tcPr>
            <w:tcW w:w="481" w:type="pct"/>
            <w:shd w:val="clear" w:color="auto" w:fill="auto"/>
          </w:tcPr>
          <w:p w:rsidR="009A091C" w:rsidRDefault="00BD17D5" w:rsidP="008151DE">
            <w:pPr>
              <w:pStyle w:val="Testonotaapidipagina"/>
              <w:jc w:val="center"/>
              <w:rPr>
                <w:sz w:val="18"/>
                <w:szCs w:val="18"/>
              </w:rPr>
            </w:pPr>
            <w:r>
              <w:rPr>
                <w:sz w:val="18"/>
                <w:szCs w:val="18"/>
              </w:rPr>
              <w:t>78,3</w:t>
            </w:r>
          </w:p>
        </w:tc>
        <w:tc>
          <w:tcPr>
            <w:tcW w:w="547" w:type="pct"/>
            <w:shd w:val="clear" w:color="auto" w:fill="auto"/>
          </w:tcPr>
          <w:p w:rsidR="009A091C" w:rsidRDefault="00BD17D5" w:rsidP="008151DE">
            <w:pPr>
              <w:pStyle w:val="Testonotaapidipagina"/>
              <w:jc w:val="center"/>
              <w:rPr>
                <w:sz w:val="18"/>
                <w:szCs w:val="18"/>
              </w:rPr>
            </w:pPr>
            <w:r>
              <w:rPr>
                <w:sz w:val="18"/>
                <w:szCs w:val="18"/>
              </w:rPr>
              <w:t>64,1</w:t>
            </w:r>
          </w:p>
        </w:tc>
      </w:tr>
      <w:tr w:rsidR="009A091C" w:rsidTr="008151DE">
        <w:tc>
          <w:tcPr>
            <w:tcW w:w="3364" w:type="pct"/>
          </w:tcPr>
          <w:p w:rsidR="009A091C" w:rsidRDefault="00AB1ED3" w:rsidP="008151DE">
            <w:pPr>
              <w:pStyle w:val="Testonotaapidipagina"/>
              <w:jc w:val="both"/>
              <w:rPr>
                <w:sz w:val="18"/>
                <w:szCs w:val="18"/>
              </w:rPr>
            </w:pPr>
            <w:r w:rsidRPr="00AB1ED3">
              <w:rPr>
                <w:sz w:val="18"/>
                <w:szCs w:val="18"/>
              </w:rPr>
              <w:t>didattica laboratoriale</w:t>
            </w:r>
          </w:p>
        </w:tc>
        <w:tc>
          <w:tcPr>
            <w:tcW w:w="608" w:type="pct"/>
          </w:tcPr>
          <w:p w:rsidR="009A091C" w:rsidRDefault="00BD17D5" w:rsidP="008151DE">
            <w:pPr>
              <w:pStyle w:val="Testonotaapidipagina"/>
              <w:jc w:val="center"/>
              <w:rPr>
                <w:sz w:val="18"/>
                <w:szCs w:val="18"/>
              </w:rPr>
            </w:pPr>
            <w:r>
              <w:rPr>
                <w:sz w:val="18"/>
                <w:szCs w:val="18"/>
              </w:rPr>
              <w:t>53,3</w:t>
            </w:r>
          </w:p>
        </w:tc>
        <w:tc>
          <w:tcPr>
            <w:tcW w:w="481" w:type="pct"/>
          </w:tcPr>
          <w:p w:rsidR="009A091C" w:rsidRDefault="00BD17D5" w:rsidP="008151DE">
            <w:pPr>
              <w:pStyle w:val="Testonotaapidipagina"/>
              <w:jc w:val="center"/>
              <w:rPr>
                <w:sz w:val="18"/>
                <w:szCs w:val="18"/>
              </w:rPr>
            </w:pPr>
            <w:r>
              <w:rPr>
                <w:sz w:val="18"/>
                <w:szCs w:val="18"/>
              </w:rPr>
              <w:t>57,8</w:t>
            </w:r>
          </w:p>
        </w:tc>
        <w:tc>
          <w:tcPr>
            <w:tcW w:w="547" w:type="pct"/>
            <w:shd w:val="clear" w:color="auto" w:fill="auto"/>
          </w:tcPr>
          <w:p w:rsidR="009A091C" w:rsidRDefault="00BD17D5" w:rsidP="008151DE">
            <w:pPr>
              <w:pStyle w:val="Testonotaapidipagina"/>
              <w:jc w:val="center"/>
              <w:rPr>
                <w:sz w:val="18"/>
                <w:szCs w:val="18"/>
              </w:rPr>
            </w:pPr>
            <w:r>
              <w:rPr>
                <w:sz w:val="18"/>
                <w:szCs w:val="18"/>
              </w:rPr>
              <w:t>43,6</w:t>
            </w:r>
          </w:p>
        </w:tc>
      </w:tr>
      <w:tr w:rsidR="009A091C" w:rsidTr="008151DE">
        <w:tc>
          <w:tcPr>
            <w:tcW w:w="3364" w:type="pct"/>
          </w:tcPr>
          <w:p w:rsidR="009A091C" w:rsidRDefault="00AB1ED3" w:rsidP="008151DE">
            <w:pPr>
              <w:pStyle w:val="Testonotaapidipagina"/>
              <w:jc w:val="both"/>
              <w:rPr>
                <w:sz w:val="18"/>
                <w:szCs w:val="18"/>
              </w:rPr>
            </w:pPr>
            <w:r w:rsidRPr="00AB1ED3">
              <w:rPr>
                <w:sz w:val="18"/>
                <w:szCs w:val="18"/>
              </w:rPr>
              <w:t>didattica per gruppi</w:t>
            </w:r>
          </w:p>
        </w:tc>
        <w:tc>
          <w:tcPr>
            <w:tcW w:w="608" w:type="pct"/>
          </w:tcPr>
          <w:p w:rsidR="009A091C" w:rsidRDefault="00BD17D5" w:rsidP="008151DE">
            <w:pPr>
              <w:pStyle w:val="Testonotaapidipagina"/>
              <w:jc w:val="center"/>
              <w:rPr>
                <w:sz w:val="18"/>
                <w:szCs w:val="18"/>
              </w:rPr>
            </w:pPr>
            <w:r>
              <w:rPr>
                <w:sz w:val="18"/>
                <w:szCs w:val="18"/>
              </w:rPr>
              <w:t>43,4</w:t>
            </w:r>
          </w:p>
        </w:tc>
        <w:tc>
          <w:tcPr>
            <w:tcW w:w="481" w:type="pct"/>
            <w:shd w:val="clear" w:color="auto" w:fill="auto"/>
          </w:tcPr>
          <w:p w:rsidR="009A091C" w:rsidRDefault="00BD17D5" w:rsidP="008151DE">
            <w:pPr>
              <w:pStyle w:val="Testonotaapidipagina"/>
              <w:jc w:val="center"/>
              <w:rPr>
                <w:sz w:val="18"/>
                <w:szCs w:val="18"/>
              </w:rPr>
            </w:pPr>
            <w:r>
              <w:rPr>
                <w:sz w:val="18"/>
                <w:szCs w:val="18"/>
              </w:rPr>
              <w:t>51,8</w:t>
            </w:r>
          </w:p>
        </w:tc>
        <w:tc>
          <w:tcPr>
            <w:tcW w:w="547" w:type="pct"/>
            <w:shd w:val="clear" w:color="auto" w:fill="auto"/>
          </w:tcPr>
          <w:p w:rsidR="009A091C" w:rsidRDefault="00BD17D5" w:rsidP="008151DE">
            <w:pPr>
              <w:pStyle w:val="Testonotaapidipagina"/>
              <w:jc w:val="center"/>
              <w:rPr>
                <w:sz w:val="18"/>
                <w:szCs w:val="18"/>
              </w:rPr>
            </w:pPr>
            <w:r>
              <w:rPr>
                <w:sz w:val="18"/>
                <w:szCs w:val="18"/>
              </w:rPr>
              <w:t>25,6</w:t>
            </w:r>
          </w:p>
        </w:tc>
      </w:tr>
      <w:tr w:rsidR="00AB1ED3" w:rsidTr="00AB1ED3">
        <w:tc>
          <w:tcPr>
            <w:tcW w:w="3364" w:type="pct"/>
          </w:tcPr>
          <w:p w:rsidR="00AB1ED3" w:rsidRPr="00AB1ED3" w:rsidRDefault="00AB1ED3" w:rsidP="008151DE">
            <w:pPr>
              <w:pStyle w:val="Testonotaapidipagina"/>
              <w:jc w:val="both"/>
              <w:rPr>
                <w:sz w:val="18"/>
                <w:szCs w:val="18"/>
              </w:rPr>
            </w:pPr>
            <w:r w:rsidRPr="00AB1ED3">
              <w:rPr>
                <w:sz w:val="18"/>
                <w:szCs w:val="18"/>
              </w:rPr>
              <w:t>miglioramento esiti a distanza e INVALSI</w:t>
            </w:r>
          </w:p>
        </w:tc>
        <w:tc>
          <w:tcPr>
            <w:tcW w:w="608" w:type="pct"/>
          </w:tcPr>
          <w:p w:rsidR="00AB1ED3" w:rsidRDefault="00BD17D5" w:rsidP="008151DE">
            <w:pPr>
              <w:pStyle w:val="Testonotaapidipagina"/>
              <w:jc w:val="center"/>
              <w:rPr>
                <w:sz w:val="18"/>
                <w:szCs w:val="18"/>
              </w:rPr>
            </w:pPr>
            <w:r>
              <w:rPr>
                <w:sz w:val="18"/>
                <w:szCs w:val="18"/>
              </w:rPr>
              <w:t>27,9</w:t>
            </w:r>
          </w:p>
        </w:tc>
        <w:tc>
          <w:tcPr>
            <w:tcW w:w="481" w:type="pct"/>
          </w:tcPr>
          <w:p w:rsidR="00AB1ED3" w:rsidRDefault="00BD17D5" w:rsidP="008151DE">
            <w:pPr>
              <w:pStyle w:val="Testonotaapidipagina"/>
              <w:jc w:val="center"/>
              <w:rPr>
                <w:sz w:val="18"/>
                <w:szCs w:val="18"/>
              </w:rPr>
            </w:pPr>
            <w:r>
              <w:rPr>
                <w:sz w:val="18"/>
                <w:szCs w:val="18"/>
              </w:rPr>
              <w:t>31,3</w:t>
            </w:r>
          </w:p>
        </w:tc>
        <w:tc>
          <w:tcPr>
            <w:tcW w:w="547" w:type="pct"/>
          </w:tcPr>
          <w:p w:rsidR="00AB1ED3" w:rsidRDefault="00BD17D5" w:rsidP="008151DE">
            <w:pPr>
              <w:pStyle w:val="Testonotaapidipagina"/>
              <w:jc w:val="center"/>
              <w:rPr>
                <w:sz w:val="18"/>
                <w:szCs w:val="18"/>
              </w:rPr>
            </w:pPr>
            <w:r>
              <w:rPr>
                <w:sz w:val="18"/>
                <w:szCs w:val="18"/>
              </w:rPr>
              <w:t>20,5</w:t>
            </w:r>
          </w:p>
        </w:tc>
      </w:tr>
    </w:tbl>
    <w:p w:rsidR="000E38CC" w:rsidRDefault="000E38CC" w:rsidP="008151DE">
      <w:pPr>
        <w:pStyle w:val="Testonotaapidipagina"/>
        <w:jc w:val="both"/>
        <w:rPr>
          <w:sz w:val="18"/>
          <w:szCs w:val="18"/>
        </w:rPr>
      </w:pPr>
    </w:p>
    <w:p w:rsidR="00E66E43" w:rsidRDefault="001F370A" w:rsidP="00C63246">
      <w:pPr>
        <w:pStyle w:val="Testonotaapidipagina"/>
        <w:jc w:val="center"/>
        <w:rPr>
          <w:sz w:val="18"/>
          <w:szCs w:val="18"/>
        </w:rPr>
      </w:pPr>
      <w:r>
        <w:rPr>
          <w:noProof/>
          <w:lang w:eastAsia="it-IT"/>
        </w:rPr>
        <w:drawing>
          <wp:inline distT="0" distB="0" distL="0" distR="0" wp14:anchorId="024582CE" wp14:editId="0B17345E">
            <wp:extent cx="5978106" cy="3286664"/>
            <wp:effectExtent l="0" t="0" r="22860" b="9525"/>
            <wp:docPr id="23" name="Gra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66E43" w:rsidRDefault="00E66E43" w:rsidP="008151DE">
      <w:pPr>
        <w:pStyle w:val="Testonotaapidipagina"/>
        <w:jc w:val="both"/>
        <w:rPr>
          <w:sz w:val="18"/>
          <w:szCs w:val="18"/>
        </w:rPr>
      </w:pPr>
    </w:p>
    <w:p w:rsidR="00A81422" w:rsidRDefault="00A81422" w:rsidP="008151DE">
      <w:pPr>
        <w:pStyle w:val="Testonotaapidipagina"/>
        <w:jc w:val="both"/>
        <w:rPr>
          <w:sz w:val="18"/>
          <w:szCs w:val="18"/>
        </w:rPr>
      </w:pPr>
    </w:p>
    <w:p w:rsidR="00A81422" w:rsidRDefault="00A81422" w:rsidP="008151DE">
      <w:pPr>
        <w:pStyle w:val="Testonotaapidipagina"/>
        <w:jc w:val="both"/>
        <w:rPr>
          <w:sz w:val="18"/>
          <w:szCs w:val="18"/>
        </w:rPr>
      </w:pPr>
    </w:p>
    <w:p w:rsidR="00A81422" w:rsidRDefault="00A81422" w:rsidP="00A81422">
      <w:pPr>
        <w:pStyle w:val="Testonotaapidipagina"/>
        <w:spacing w:line="360" w:lineRule="auto"/>
        <w:jc w:val="both"/>
        <w:rPr>
          <w:sz w:val="22"/>
          <w:szCs w:val="22"/>
        </w:rPr>
      </w:pPr>
      <w:r>
        <w:rPr>
          <w:sz w:val="22"/>
          <w:szCs w:val="22"/>
        </w:rPr>
        <w:t>Poiché il criterio B comprende anche l’aspetto della documentazione e della diffusione delle buone pratiche, tradizionalmente trascurato nelle scuole italiane, fa la sua comparsa tra le attività da incentivare la produzione di materiali didattici, che viene considerata dal   71,3% delle scuole,  molte delle quali del I ciclo (il  77,1%)</w:t>
      </w:r>
    </w:p>
    <w:p w:rsidR="001F370A" w:rsidRDefault="001F370A" w:rsidP="008151DE">
      <w:pPr>
        <w:pStyle w:val="Testonotaapidipagina"/>
        <w:jc w:val="both"/>
        <w:rPr>
          <w:sz w:val="18"/>
          <w:szCs w:val="18"/>
        </w:rPr>
      </w:pPr>
    </w:p>
    <w:p w:rsidR="001F370A" w:rsidRDefault="001F370A" w:rsidP="008151DE">
      <w:pPr>
        <w:pStyle w:val="Testonotaapidipagina"/>
        <w:jc w:val="both"/>
        <w:rPr>
          <w:sz w:val="18"/>
          <w:szCs w:val="18"/>
        </w:rPr>
      </w:pPr>
    </w:p>
    <w:tbl>
      <w:tblPr>
        <w:tblStyle w:val="Grigliatabella"/>
        <w:tblW w:w="5000" w:type="pct"/>
        <w:tblLook w:val="04A0" w:firstRow="1" w:lastRow="0" w:firstColumn="1" w:lastColumn="0" w:noHBand="0" w:noVBand="1"/>
      </w:tblPr>
      <w:tblGrid>
        <w:gridCol w:w="6630"/>
        <w:gridCol w:w="1133"/>
        <w:gridCol w:w="993"/>
        <w:gridCol w:w="1098"/>
      </w:tblGrid>
      <w:tr w:rsidR="00AB1ED3" w:rsidTr="00AB1ED3">
        <w:tc>
          <w:tcPr>
            <w:tcW w:w="3364" w:type="pct"/>
          </w:tcPr>
          <w:p w:rsidR="00AB1ED3" w:rsidRDefault="00AB1ED3" w:rsidP="008151DE">
            <w:pPr>
              <w:pStyle w:val="Testonotaapidipagina"/>
              <w:jc w:val="both"/>
              <w:rPr>
                <w:sz w:val="18"/>
                <w:szCs w:val="18"/>
              </w:rPr>
            </w:pPr>
            <w:r w:rsidRPr="00AB1ED3">
              <w:rPr>
                <w:sz w:val="18"/>
                <w:szCs w:val="18"/>
              </w:rPr>
              <w:t>RICERCA E BUONE PRATICHE</w:t>
            </w:r>
          </w:p>
        </w:tc>
        <w:tc>
          <w:tcPr>
            <w:tcW w:w="575" w:type="pct"/>
          </w:tcPr>
          <w:p w:rsidR="00AB1ED3" w:rsidRPr="00A634F4" w:rsidRDefault="00AB1ED3" w:rsidP="008151DE">
            <w:pPr>
              <w:jc w:val="center"/>
              <w:rPr>
                <w:sz w:val="18"/>
                <w:szCs w:val="18"/>
              </w:rPr>
            </w:pPr>
            <w:r>
              <w:rPr>
                <w:sz w:val="18"/>
                <w:szCs w:val="18"/>
              </w:rPr>
              <w:t>Globale</w:t>
            </w:r>
          </w:p>
        </w:tc>
        <w:tc>
          <w:tcPr>
            <w:tcW w:w="504" w:type="pct"/>
          </w:tcPr>
          <w:p w:rsidR="00AB1ED3" w:rsidRPr="00A634F4" w:rsidRDefault="00AB1ED3" w:rsidP="008151DE">
            <w:pPr>
              <w:jc w:val="center"/>
              <w:rPr>
                <w:sz w:val="18"/>
                <w:szCs w:val="18"/>
              </w:rPr>
            </w:pPr>
            <w:r>
              <w:rPr>
                <w:sz w:val="18"/>
                <w:szCs w:val="18"/>
              </w:rPr>
              <w:t>I ciclo</w:t>
            </w:r>
          </w:p>
        </w:tc>
        <w:tc>
          <w:tcPr>
            <w:tcW w:w="557" w:type="pct"/>
          </w:tcPr>
          <w:p w:rsidR="00AB1ED3" w:rsidRPr="00A634F4" w:rsidRDefault="00AB1ED3" w:rsidP="008151DE">
            <w:pPr>
              <w:jc w:val="center"/>
              <w:rPr>
                <w:sz w:val="18"/>
                <w:szCs w:val="18"/>
              </w:rPr>
            </w:pPr>
            <w:r>
              <w:rPr>
                <w:sz w:val="18"/>
                <w:szCs w:val="18"/>
              </w:rPr>
              <w:t>II  ciclo</w:t>
            </w:r>
          </w:p>
        </w:tc>
      </w:tr>
      <w:tr w:rsidR="00AB1ED3" w:rsidTr="008151DE">
        <w:tc>
          <w:tcPr>
            <w:tcW w:w="3364" w:type="pct"/>
          </w:tcPr>
          <w:p w:rsidR="00AB1ED3" w:rsidRDefault="00AB1ED3" w:rsidP="008151DE">
            <w:pPr>
              <w:pStyle w:val="Testonotaapidipagina"/>
              <w:jc w:val="both"/>
              <w:rPr>
                <w:sz w:val="18"/>
                <w:szCs w:val="18"/>
              </w:rPr>
            </w:pPr>
            <w:r w:rsidRPr="00AB1ED3">
              <w:rPr>
                <w:sz w:val="18"/>
                <w:szCs w:val="18"/>
              </w:rPr>
              <w:t>produzione materiali</w:t>
            </w:r>
          </w:p>
        </w:tc>
        <w:tc>
          <w:tcPr>
            <w:tcW w:w="575" w:type="pct"/>
            <w:shd w:val="clear" w:color="auto" w:fill="auto"/>
          </w:tcPr>
          <w:p w:rsidR="00AB1ED3" w:rsidRDefault="00BD17D5" w:rsidP="008151DE">
            <w:pPr>
              <w:pStyle w:val="Testonotaapidipagina"/>
              <w:jc w:val="center"/>
              <w:rPr>
                <w:sz w:val="18"/>
                <w:szCs w:val="18"/>
              </w:rPr>
            </w:pPr>
            <w:r>
              <w:rPr>
                <w:sz w:val="18"/>
                <w:szCs w:val="18"/>
              </w:rPr>
              <w:t>71,3</w:t>
            </w:r>
          </w:p>
        </w:tc>
        <w:tc>
          <w:tcPr>
            <w:tcW w:w="504" w:type="pct"/>
            <w:shd w:val="clear" w:color="auto" w:fill="auto"/>
          </w:tcPr>
          <w:p w:rsidR="00AB1ED3" w:rsidRDefault="00BD17D5" w:rsidP="008151DE">
            <w:pPr>
              <w:pStyle w:val="Testonotaapidipagina"/>
              <w:jc w:val="center"/>
              <w:rPr>
                <w:sz w:val="18"/>
                <w:szCs w:val="18"/>
              </w:rPr>
            </w:pPr>
            <w:r>
              <w:rPr>
                <w:sz w:val="18"/>
                <w:szCs w:val="18"/>
              </w:rPr>
              <w:t>77,1</w:t>
            </w:r>
          </w:p>
        </w:tc>
        <w:tc>
          <w:tcPr>
            <w:tcW w:w="557" w:type="pct"/>
            <w:shd w:val="clear" w:color="auto" w:fill="auto"/>
          </w:tcPr>
          <w:p w:rsidR="00AB1ED3" w:rsidRDefault="00BD17D5" w:rsidP="008151DE">
            <w:pPr>
              <w:pStyle w:val="Testonotaapidipagina"/>
              <w:jc w:val="center"/>
              <w:rPr>
                <w:sz w:val="18"/>
                <w:szCs w:val="18"/>
              </w:rPr>
            </w:pPr>
            <w:r>
              <w:rPr>
                <w:sz w:val="18"/>
                <w:szCs w:val="18"/>
              </w:rPr>
              <w:t>58,9</w:t>
            </w:r>
          </w:p>
        </w:tc>
      </w:tr>
      <w:tr w:rsidR="00AB1ED3" w:rsidTr="008151DE">
        <w:tc>
          <w:tcPr>
            <w:tcW w:w="3364" w:type="pct"/>
          </w:tcPr>
          <w:p w:rsidR="00AB1ED3" w:rsidRDefault="00AB1ED3" w:rsidP="008151DE">
            <w:pPr>
              <w:pStyle w:val="Testonotaapidipagina"/>
              <w:jc w:val="both"/>
              <w:rPr>
                <w:sz w:val="18"/>
                <w:szCs w:val="18"/>
              </w:rPr>
            </w:pPr>
            <w:r w:rsidRPr="00AB1ED3">
              <w:rPr>
                <w:sz w:val="18"/>
                <w:szCs w:val="18"/>
              </w:rPr>
              <w:t>condivisione buone pratiche</w:t>
            </w:r>
          </w:p>
        </w:tc>
        <w:tc>
          <w:tcPr>
            <w:tcW w:w="575" w:type="pct"/>
            <w:shd w:val="clear" w:color="auto" w:fill="auto"/>
          </w:tcPr>
          <w:p w:rsidR="00AB1ED3" w:rsidRDefault="00BD17D5" w:rsidP="008151DE">
            <w:pPr>
              <w:pStyle w:val="Testonotaapidipagina"/>
              <w:jc w:val="center"/>
              <w:rPr>
                <w:sz w:val="18"/>
                <w:szCs w:val="18"/>
              </w:rPr>
            </w:pPr>
            <w:r>
              <w:rPr>
                <w:sz w:val="18"/>
                <w:szCs w:val="18"/>
              </w:rPr>
              <w:t>34,4</w:t>
            </w:r>
          </w:p>
        </w:tc>
        <w:tc>
          <w:tcPr>
            <w:tcW w:w="504" w:type="pct"/>
            <w:shd w:val="clear" w:color="auto" w:fill="auto"/>
          </w:tcPr>
          <w:p w:rsidR="00AB1ED3" w:rsidRDefault="00BD17D5" w:rsidP="008151DE">
            <w:pPr>
              <w:pStyle w:val="Testonotaapidipagina"/>
              <w:jc w:val="center"/>
              <w:rPr>
                <w:sz w:val="18"/>
                <w:szCs w:val="18"/>
              </w:rPr>
            </w:pPr>
            <w:r>
              <w:rPr>
                <w:sz w:val="18"/>
                <w:szCs w:val="18"/>
              </w:rPr>
              <w:t>36,1</w:t>
            </w:r>
          </w:p>
        </w:tc>
        <w:tc>
          <w:tcPr>
            <w:tcW w:w="557" w:type="pct"/>
            <w:shd w:val="clear" w:color="auto" w:fill="auto"/>
          </w:tcPr>
          <w:p w:rsidR="00AB1ED3" w:rsidRDefault="00BD17D5" w:rsidP="008151DE">
            <w:pPr>
              <w:pStyle w:val="Testonotaapidipagina"/>
              <w:jc w:val="center"/>
              <w:rPr>
                <w:sz w:val="18"/>
                <w:szCs w:val="18"/>
              </w:rPr>
            </w:pPr>
            <w:r>
              <w:rPr>
                <w:sz w:val="18"/>
                <w:szCs w:val="18"/>
              </w:rPr>
              <w:t>30,8</w:t>
            </w:r>
          </w:p>
        </w:tc>
      </w:tr>
    </w:tbl>
    <w:p w:rsidR="002D5355" w:rsidRDefault="002D5355" w:rsidP="002D5355">
      <w:pPr>
        <w:pStyle w:val="Testonotaapidipagina"/>
        <w:spacing w:line="360" w:lineRule="auto"/>
        <w:jc w:val="both"/>
        <w:rPr>
          <w:sz w:val="22"/>
          <w:szCs w:val="22"/>
        </w:rPr>
      </w:pPr>
    </w:p>
    <w:p w:rsidR="00C63246" w:rsidRDefault="00C63246" w:rsidP="00C63246">
      <w:pPr>
        <w:pStyle w:val="Testonotaapidipagina"/>
        <w:spacing w:line="360" w:lineRule="auto"/>
        <w:jc w:val="center"/>
        <w:rPr>
          <w:sz w:val="22"/>
          <w:szCs w:val="22"/>
        </w:rPr>
      </w:pPr>
      <w:r>
        <w:rPr>
          <w:noProof/>
          <w:lang w:eastAsia="it-IT"/>
        </w:rPr>
        <w:drawing>
          <wp:inline distT="0" distB="0" distL="0" distR="0" wp14:anchorId="734FB1B9" wp14:editId="70A89264">
            <wp:extent cx="4088921" cy="2087592"/>
            <wp:effectExtent l="0" t="0" r="26035" b="27305"/>
            <wp:docPr id="10" name="Gra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63246" w:rsidRDefault="00C63246" w:rsidP="002D5355">
      <w:pPr>
        <w:pStyle w:val="Testonotaapidipagina"/>
        <w:spacing w:line="360" w:lineRule="auto"/>
        <w:jc w:val="both"/>
        <w:rPr>
          <w:sz w:val="22"/>
          <w:szCs w:val="22"/>
        </w:rPr>
      </w:pPr>
    </w:p>
    <w:p w:rsidR="00BD5FD7" w:rsidRPr="00BD5FD7" w:rsidRDefault="00EE2C74" w:rsidP="00BD5FD7">
      <w:pPr>
        <w:spacing w:line="360" w:lineRule="auto"/>
        <w:jc w:val="both"/>
      </w:pPr>
      <w:r>
        <w:t>Il criterio C è quello sicuramente più esplicito e rispetto ad esso le scelte di tutte le scuole convergono ampiamente.  I</w:t>
      </w:r>
      <w:r w:rsidR="008151DE" w:rsidRPr="002D5355">
        <w:t xml:space="preserve">l punteggio più alto </w:t>
      </w:r>
      <w:r w:rsidR="00FF4BAC">
        <w:t>per tutte le istituzioni (I</w:t>
      </w:r>
      <w:r w:rsidR="002D5355" w:rsidRPr="002D5355">
        <w:t xml:space="preserve"> e II grado) è rappresentato dalla voce “staff/compiti di coordinamento”</w:t>
      </w:r>
      <w:r w:rsidR="00BD5FD7">
        <w:t>, mentre l</w:t>
      </w:r>
      <w:r w:rsidR="002D5355" w:rsidRPr="002D5355">
        <w:t xml:space="preserve">a dimensione </w:t>
      </w:r>
      <w:r w:rsidR="00FF4BAC">
        <w:t>“</w:t>
      </w:r>
      <w:r w:rsidR="002D5355" w:rsidRPr="002D5355">
        <w:t>tempo</w:t>
      </w:r>
      <w:r w:rsidR="00FF4BAC">
        <w:t>”</w:t>
      </w:r>
      <w:r w:rsidR="002D5355" w:rsidRPr="002D5355">
        <w:t xml:space="preserve"> raccoglie i punteggi minori sia per le istituzioni del I ciclo </w:t>
      </w:r>
      <w:r w:rsidR="00BD5FD7">
        <w:t>(</w:t>
      </w:r>
      <w:r w:rsidR="002D5355" w:rsidRPr="002D5355">
        <w:t>“impegni oltre l’orario</w:t>
      </w:r>
      <w:r w:rsidR="00FF4BAC">
        <w:t>”</w:t>
      </w:r>
      <w:r w:rsidR="00BD5FD7">
        <w:t>)</w:t>
      </w:r>
      <w:r w:rsidR="00FF4BAC">
        <w:t xml:space="preserve"> che per quelle del II ciclo </w:t>
      </w:r>
      <w:r w:rsidR="00BD5FD7">
        <w:t>(</w:t>
      </w:r>
      <w:r w:rsidR="00FF4BAC">
        <w:t>“d</w:t>
      </w:r>
      <w:r w:rsidR="002D5355" w:rsidRPr="002D5355">
        <w:t>isponibilità a sostituire i colleghi”</w:t>
      </w:r>
      <w:r w:rsidR="00BD5FD7">
        <w:t xml:space="preserve">). </w:t>
      </w:r>
      <w:r w:rsidR="00BD5FD7" w:rsidRPr="00BD5FD7">
        <w:t>Confrontando i punteggi relativi ai criteri di quest’area è evidente un’assoluta uniformità di scelta che privilegia, per entrambi i cicli,</w:t>
      </w:r>
      <w:r w:rsidR="00BD5FD7">
        <w:t xml:space="preserve"> la dimensione del</w:t>
      </w:r>
      <w:r w:rsidR="00BD5FD7" w:rsidRPr="00BD5FD7">
        <w:t xml:space="preserve"> coordinamento organizzativo</w:t>
      </w:r>
      <w:r w:rsidR="00BD5FD7">
        <w:t xml:space="preserve">, anche </w:t>
      </w:r>
      <w:r w:rsidR="00507480">
        <w:t>dal punto di vista</w:t>
      </w:r>
      <w:r w:rsidR="00BD5FD7">
        <w:t xml:space="preserve"> della sicurezza nell’ambiente di lavoro</w:t>
      </w:r>
      <w:r w:rsidR="00A81422">
        <w:t xml:space="preserve"> (SPP</w:t>
      </w:r>
      <w:r w:rsidR="00313C35">
        <w:t xml:space="preserve"> = Servizio  di protezione e prevenzione)</w:t>
      </w:r>
      <w:r w:rsidR="00BD5FD7">
        <w:t xml:space="preserve">, </w:t>
      </w:r>
      <w:r w:rsidR="00507480">
        <w:t xml:space="preserve">area </w:t>
      </w:r>
      <w:r w:rsidR="00BD5FD7">
        <w:t xml:space="preserve">che normalmente assorbiva una buona quota del Fondo dell’Istituzione scolastica </w:t>
      </w:r>
      <w:r w:rsidR="00BD5FD7" w:rsidRPr="00BD5FD7">
        <w:t xml:space="preserve">. </w:t>
      </w:r>
    </w:p>
    <w:p w:rsidR="00BD5FD7" w:rsidRPr="002D5355" w:rsidRDefault="00BD5FD7" w:rsidP="002D5355">
      <w:pPr>
        <w:pStyle w:val="Testonotaapidipagina"/>
        <w:spacing w:line="360" w:lineRule="auto"/>
        <w:jc w:val="both"/>
        <w:rPr>
          <w:sz w:val="22"/>
          <w:szCs w:val="22"/>
        </w:rPr>
      </w:pPr>
      <w:r>
        <w:rPr>
          <w:sz w:val="22"/>
          <w:szCs w:val="22"/>
        </w:rPr>
        <w:t>L’aspetto “formazione” è un’altra costante nelle scelte delle scuole,  ma qui, a differenza che per il criterio A, la formazione fa riferimento a corsi gestiti dai docenti in  qualità di formatori oppure allo svolgimento  di compiti di tutoraggio nei confronti   soprattutto dei docenti neo assunti in ruolo.</w:t>
      </w:r>
    </w:p>
    <w:p w:rsidR="00BD6DFE" w:rsidRDefault="00BD6DFE" w:rsidP="00A634F4">
      <w:pPr>
        <w:pStyle w:val="Testonotaapidipagina"/>
        <w:jc w:val="both"/>
        <w:rPr>
          <w:sz w:val="18"/>
          <w:szCs w:val="18"/>
        </w:rPr>
      </w:pPr>
      <w:bookmarkStart w:id="0" w:name="_GoBack"/>
      <w:bookmarkEnd w:id="0"/>
    </w:p>
    <w:p w:rsidR="00781C26" w:rsidRPr="00992B38" w:rsidRDefault="00A634F4" w:rsidP="00992B38">
      <w:pPr>
        <w:pStyle w:val="Testonotaapidipagina"/>
        <w:jc w:val="both"/>
        <w:rPr>
          <w:sz w:val="18"/>
          <w:szCs w:val="18"/>
        </w:rPr>
      </w:pPr>
      <w:r w:rsidRPr="004E23CC">
        <w:rPr>
          <w:sz w:val="18"/>
          <w:szCs w:val="18"/>
        </w:rPr>
        <w:t>CRITERIO C: responsabilità assunte nel coordinamento organizzativo e didattico e n</w:t>
      </w:r>
      <w:r w:rsidR="00992B38">
        <w:rPr>
          <w:sz w:val="18"/>
          <w:szCs w:val="18"/>
        </w:rPr>
        <w:t xml:space="preserve">ella formazione del personale. </w:t>
      </w:r>
    </w:p>
    <w:tbl>
      <w:tblPr>
        <w:tblStyle w:val="Grigliatabella"/>
        <w:tblW w:w="5000" w:type="pct"/>
        <w:tblLook w:val="04A0" w:firstRow="1" w:lastRow="0" w:firstColumn="1" w:lastColumn="0" w:noHBand="0" w:noVBand="1"/>
      </w:tblPr>
      <w:tblGrid>
        <w:gridCol w:w="6630"/>
        <w:gridCol w:w="1135"/>
        <w:gridCol w:w="991"/>
        <w:gridCol w:w="1098"/>
      </w:tblGrid>
      <w:tr w:rsidR="00992B38" w:rsidRPr="00992B38" w:rsidTr="00992B38">
        <w:tc>
          <w:tcPr>
            <w:tcW w:w="3364" w:type="pct"/>
          </w:tcPr>
          <w:p w:rsidR="00992B38" w:rsidRPr="00992B38" w:rsidRDefault="00992B38" w:rsidP="009B283D">
            <w:pPr>
              <w:jc w:val="both"/>
              <w:rPr>
                <w:sz w:val="18"/>
                <w:szCs w:val="18"/>
              </w:rPr>
            </w:pPr>
            <w:r w:rsidRPr="00992B38">
              <w:rPr>
                <w:sz w:val="18"/>
                <w:szCs w:val="18"/>
              </w:rPr>
              <w:t>COORDINAMENTO ORGANIZZATIVO</w:t>
            </w:r>
          </w:p>
        </w:tc>
        <w:tc>
          <w:tcPr>
            <w:tcW w:w="576" w:type="pct"/>
          </w:tcPr>
          <w:p w:rsidR="00992B38" w:rsidRPr="00992B38" w:rsidRDefault="00992B38" w:rsidP="00AF257D">
            <w:pPr>
              <w:jc w:val="center"/>
              <w:rPr>
                <w:sz w:val="18"/>
                <w:szCs w:val="18"/>
              </w:rPr>
            </w:pPr>
            <w:r w:rsidRPr="00992B38">
              <w:rPr>
                <w:sz w:val="18"/>
                <w:szCs w:val="18"/>
              </w:rPr>
              <w:t>Globale</w:t>
            </w:r>
          </w:p>
        </w:tc>
        <w:tc>
          <w:tcPr>
            <w:tcW w:w="503" w:type="pct"/>
          </w:tcPr>
          <w:p w:rsidR="00992B38" w:rsidRPr="00992B38" w:rsidRDefault="00992B38" w:rsidP="00AF257D">
            <w:pPr>
              <w:jc w:val="center"/>
              <w:rPr>
                <w:sz w:val="18"/>
                <w:szCs w:val="18"/>
              </w:rPr>
            </w:pPr>
            <w:r w:rsidRPr="00992B38">
              <w:rPr>
                <w:sz w:val="18"/>
                <w:szCs w:val="18"/>
              </w:rPr>
              <w:t>I ciclo</w:t>
            </w:r>
          </w:p>
        </w:tc>
        <w:tc>
          <w:tcPr>
            <w:tcW w:w="557" w:type="pct"/>
          </w:tcPr>
          <w:p w:rsidR="00992B38" w:rsidRPr="00992B38" w:rsidRDefault="00992B38" w:rsidP="00AF257D">
            <w:pPr>
              <w:jc w:val="center"/>
              <w:rPr>
                <w:sz w:val="18"/>
                <w:szCs w:val="18"/>
              </w:rPr>
            </w:pPr>
            <w:r w:rsidRPr="00992B38">
              <w:rPr>
                <w:sz w:val="18"/>
                <w:szCs w:val="18"/>
              </w:rPr>
              <w:t>II  ciclo</w:t>
            </w:r>
          </w:p>
        </w:tc>
      </w:tr>
      <w:tr w:rsidR="00992B38" w:rsidRPr="00992B38" w:rsidTr="0068067E">
        <w:tc>
          <w:tcPr>
            <w:tcW w:w="3364" w:type="pct"/>
          </w:tcPr>
          <w:p w:rsidR="00992B38" w:rsidRPr="00992B38" w:rsidRDefault="00992B38" w:rsidP="009B283D">
            <w:pPr>
              <w:jc w:val="both"/>
              <w:rPr>
                <w:sz w:val="18"/>
                <w:szCs w:val="18"/>
              </w:rPr>
            </w:pPr>
            <w:r w:rsidRPr="00992B38">
              <w:rPr>
                <w:sz w:val="18"/>
                <w:szCs w:val="18"/>
              </w:rPr>
              <w:t>staff/compiti di coordinamento</w:t>
            </w:r>
          </w:p>
        </w:tc>
        <w:tc>
          <w:tcPr>
            <w:tcW w:w="576" w:type="pct"/>
          </w:tcPr>
          <w:p w:rsidR="00992B38" w:rsidRPr="00992B38" w:rsidRDefault="00BD17D5" w:rsidP="00992B38">
            <w:pPr>
              <w:jc w:val="center"/>
              <w:rPr>
                <w:sz w:val="18"/>
                <w:szCs w:val="18"/>
              </w:rPr>
            </w:pPr>
            <w:r>
              <w:rPr>
                <w:sz w:val="18"/>
                <w:szCs w:val="18"/>
              </w:rPr>
              <w:t>90,2</w:t>
            </w:r>
          </w:p>
        </w:tc>
        <w:tc>
          <w:tcPr>
            <w:tcW w:w="503" w:type="pct"/>
            <w:shd w:val="clear" w:color="auto" w:fill="auto"/>
          </w:tcPr>
          <w:p w:rsidR="00992B38" w:rsidRPr="00992B38" w:rsidRDefault="00BD17D5" w:rsidP="00992B38">
            <w:pPr>
              <w:jc w:val="center"/>
              <w:rPr>
                <w:sz w:val="18"/>
                <w:szCs w:val="18"/>
              </w:rPr>
            </w:pPr>
            <w:r>
              <w:rPr>
                <w:sz w:val="18"/>
                <w:szCs w:val="18"/>
              </w:rPr>
              <w:t>92,7</w:t>
            </w:r>
          </w:p>
        </w:tc>
        <w:tc>
          <w:tcPr>
            <w:tcW w:w="557" w:type="pct"/>
            <w:shd w:val="clear" w:color="auto" w:fill="auto"/>
          </w:tcPr>
          <w:p w:rsidR="00992B38" w:rsidRPr="00992B38" w:rsidRDefault="00BD17D5" w:rsidP="00992B38">
            <w:pPr>
              <w:jc w:val="center"/>
              <w:rPr>
                <w:sz w:val="18"/>
                <w:szCs w:val="18"/>
              </w:rPr>
            </w:pPr>
            <w:r>
              <w:rPr>
                <w:sz w:val="18"/>
                <w:szCs w:val="18"/>
              </w:rPr>
              <w:t>84,6</w:t>
            </w:r>
          </w:p>
        </w:tc>
      </w:tr>
      <w:tr w:rsidR="00992B38" w:rsidRPr="00992B38" w:rsidTr="008151DE">
        <w:tc>
          <w:tcPr>
            <w:tcW w:w="3364" w:type="pct"/>
          </w:tcPr>
          <w:p w:rsidR="00992B38" w:rsidRPr="00992B38" w:rsidRDefault="00992B38" w:rsidP="009B283D">
            <w:pPr>
              <w:jc w:val="both"/>
              <w:rPr>
                <w:sz w:val="18"/>
                <w:szCs w:val="18"/>
              </w:rPr>
            </w:pPr>
            <w:r w:rsidRPr="00992B38">
              <w:rPr>
                <w:sz w:val="18"/>
                <w:szCs w:val="18"/>
              </w:rPr>
              <w:t>animatore digitale</w:t>
            </w:r>
          </w:p>
        </w:tc>
        <w:tc>
          <w:tcPr>
            <w:tcW w:w="576" w:type="pct"/>
          </w:tcPr>
          <w:p w:rsidR="00992B38" w:rsidRPr="00992B38" w:rsidRDefault="00BD17D5" w:rsidP="00992B38">
            <w:pPr>
              <w:jc w:val="center"/>
              <w:rPr>
                <w:sz w:val="18"/>
                <w:szCs w:val="18"/>
              </w:rPr>
            </w:pPr>
            <w:r>
              <w:rPr>
                <w:sz w:val="18"/>
                <w:szCs w:val="18"/>
              </w:rPr>
              <w:t>50</w:t>
            </w:r>
          </w:p>
        </w:tc>
        <w:tc>
          <w:tcPr>
            <w:tcW w:w="503" w:type="pct"/>
          </w:tcPr>
          <w:p w:rsidR="00992B38" w:rsidRPr="00992B38" w:rsidRDefault="00BD17D5" w:rsidP="00992B38">
            <w:pPr>
              <w:jc w:val="center"/>
              <w:rPr>
                <w:sz w:val="18"/>
                <w:szCs w:val="18"/>
              </w:rPr>
            </w:pPr>
            <w:r>
              <w:rPr>
                <w:sz w:val="18"/>
                <w:szCs w:val="18"/>
              </w:rPr>
              <w:t>59</w:t>
            </w:r>
          </w:p>
        </w:tc>
        <w:tc>
          <w:tcPr>
            <w:tcW w:w="557" w:type="pct"/>
            <w:shd w:val="clear" w:color="auto" w:fill="auto"/>
          </w:tcPr>
          <w:p w:rsidR="00992B38" w:rsidRPr="00992B38" w:rsidRDefault="00BD17D5" w:rsidP="00992B38">
            <w:pPr>
              <w:jc w:val="center"/>
              <w:rPr>
                <w:sz w:val="18"/>
                <w:szCs w:val="18"/>
              </w:rPr>
            </w:pPr>
            <w:r>
              <w:rPr>
                <w:sz w:val="18"/>
                <w:szCs w:val="18"/>
              </w:rPr>
              <w:t>30,8</w:t>
            </w:r>
          </w:p>
        </w:tc>
      </w:tr>
      <w:tr w:rsidR="00992B38" w:rsidRPr="00992B38" w:rsidTr="00992B38">
        <w:tc>
          <w:tcPr>
            <w:tcW w:w="3364" w:type="pct"/>
          </w:tcPr>
          <w:p w:rsidR="00992B38" w:rsidRPr="00992B38" w:rsidRDefault="00992B38" w:rsidP="009B283D">
            <w:pPr>
              <w:jc w:val="both"/>
              <w:rPr>
                <w:sz w:val="18"/>
                <w:szCs w:val="18"/>
              </w:rPr>
            </w:pPr>
            <w:r w:rsidRPr="00992B38">
              <w:rPr>
                <w:sz w:val="18"/>
                <w:szCs w:val="18"/>
              </w:rPr>
              <w:t>SPP</w:t>
            </w:r>
          </w:p>
        </w:tc>
        <w:tc>
          <w:tcPr>
            <w:tcW w:w="576" w:type="pct"/>
          </w:tcPr>
          <w:p w:rsidR="00992B38" w:rsidRPr="00992B38" w:rsidRDefault="00BD17D5" w:rsidP="00992B38">
            <w:pPr>
              <w:jc w:val="center"/>
              <w:rPr>
                <w:sz w:val="18"/>
                <w:szCs w:val="18"/>
              </w:rPr>
            </w:pPr>
            <w:r>
              <w:rPr>
                <w:sz w:val="18"/>
                <w:szCs w:val="18"/>
              </w:rPr>
              <w:t>46,7</w:t>
            </w:r>
          </w:p>
        </w:tc>
        <w:tc>
          <w:tcPr>
            <w:tcW w:w="503" w:type="pct"/>
          </w:tcPr>
          <w:p w:rsidR="00992B38" w:rsidRPr="00992B38" w:rsidRDefault="00BD17D5" w:rsidP="00992B38">
            <w:pPr>
              <w:jc w:val="center"/>
              <w:rPr>
                <w:sz w:val="18"/>
                <w:szCs w:val="18"/>
              </w:rPr>
            </w:pPr>
            <w:r>
              <w:rPr>
                <w:sz w:val="18"/>
                <w:szCs w:val="18"/>
              </w:rPr>
              <w:t>53</w:t>
            </w:r>
          </w:p>
        </w:tc>
        <w:tc>
          <w:tcPr>
            <w:tcW w:w="557" w:type="pct"/>
          </w:tcPr>
          <w:p w:rsidR="00992B38" w:rsidRPr="00992B38" w:rsidRDefault="00BD17D5" w:rsidP="00992B38">
            <w:pPr>
              <w:jc w:val="center"/>
              <w:rPr>
                <w:sz w:val="18"/>
                <w:szCs w:val="18"/>
              </w:rPr>
            </w:pPr>
            <w:r>
              <w:rPr>
                <w:sz w:val="18"/>
                <w:szCs w:val="18"/>
              </w:rPr>
              <w:t>33,3</w:t>
            </w:r>
          </w:p>
        </w:tc>
      </w:tr>
      <w:tr w:rsidR="00992B38" w:rsidRPr="00992B38" w:rsidTr="00992B38">
        <w:tc>
          <w:tcPr>
            <w:tcW w:w="3364" w:type="pct"/>
          </w:tcPr>
          <w:p w:rsidR="00992B38" w:rsidRPr="00992B38" w:rsidRDefault="00992B38" w:rsidP="009B283D">
            <w:pPr>
              <w:jc w:val="both"/>
              <w:rPr>
                <w:sz w:val="18"/>
                <w:szCs w:val="18"/>
              </w:rPr>
            </w:pPr>
            <w:r w:rsidRPr="00992B38">
              <w:rPr>
                <w:sz w:val="18"/>
                <w:szCs w:val="18"/>
              </w:rPr>
              <w:t>GLI</w:t>
            </w:r>
          </w:p>
        </w:tc>
        <w:tc>
          <w:tcPr>
            <w:tcW w:w="576" w:type="pct"/>
          </w:tcPr>
          <w:p w:rsidR="00992B38" w:rsidRPr="00992B38" w:rsidRDefault="00BD17D5" w:rsidP="00992B38">
            <w:pPr>
              <w:jc w:val="center"/>
              <w:rPr>
                <w:sz w:val="18"/>
                <w:szCs w:val="18"/>
              </w:rPr>
            </w:pPr>
            <w:r>
              <w:rPr>
                <w:sz w:val="18"/>
                <w:szCs w:val="18"/>
              </w:rPr>
              <w:t>31,1</w:t>
            </w:r>
          </w:p>
        </w:tc>
        <w:tc>
          <w:tcPr>
            <w:tcW w:w="503" w:type="pct"/>
          </w:tcPr>
          <w:p w:rsidR="00992B38" w:rsidRPr="00992B38" w:rsidRDefault="00BD17D5" w:rsidP="00992B38">
            <w:pPr>
              <w:jc w:val="center"/>
              <w:rPr>
                <w:sz w:val="18"/>
                <w:szCs w:val="18"/>
              </w:rPr>
            </w:pPr>
            <w:r>
              <w:rPr>
                <w:sz w:val="18"/>
                <w:szCs w:val="18"/>
              </w:rPr>
              <w:t>33,7</w:t>
            </w:r>
          </w:p>
        </w:tc>
        <w:tc>
          <w:tcPr>
            <w:tcW w:w="557" w:type="pct"/>
          </w:tcPr>
          <w:p w:rsidR="00992B38" w:rsidRPr="00992B38" w:rsidRDefault="00BD17D5" w:rsidP="00992B38">
            <w:pPr>
              <w:jc w:val="center"/>
              <w:rPr>
                <w:sz w:val="18"/>
                <w:szCs w:val="18"/>
              </w:rPr>
            </w:pPr>
            <w:r>
              <w:rPr>
                <w:sz w:val="18"/>
                <w:szCs w:val="18"/>
              </w:rPr>
              <w:t>25,6</w:t>
            </w:r>
          </w:p>
        </w:tc>
      </w:tr>
    </w:tbl>
    <w:p w:rsidR="00C63246" w:rsidRDefault="00C63246" w:rsidP="00992B38">
      <w:pPr>
        <w:spacing w:after="0"/>
        <w:jc w:val="both"/>
      </w:pPr>
    </w:p>
    <w:p w:rsidR="00C63246" w:rsidRDefault="00C63246" w:rsidP="00E90E23">
      <w:pPr>
        <w:spacing w:after="0"/>
        <w:jc w:val="center"/>
      </w:pPr>
      <w:r>
        <w:rPr>
          <w:noProof/>
          <w:lang w:eastAsia="it-IT"/>
        </w:rPr>
        <w:drawing>
          <wp:inline distT="0" distB="0" distL="0" distR="0" wp14:anchorId="5409EDEB" wp14:editId="1BF93EAB">
            <wp:extent cx="5089585" cy="2225615"/>
            <wp:effectExtent l="0" t="0" r="15875" b="22860"/>
            <wp:docPr id="13" name="Gra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tblStyle w:val="Grigliatabella"/>
        <w:tblW w:w="5000" w:type="pct"/>
        <w:tblLook w:val="04A0" w:firstRow="1" w:lastRow="0" w:firstColumn="1" w:lastColumn="0" w:noHBand="0" w:noVBand="1"/>
      </w:tblPr>
      <w:tblGrid>
        <w:gridCol w:w="6630"/>
        <w:gridCol w:w="1133"/>
        <w:gridCol w:w="991"/>
        <w:gridCol w:w="1100"/>
      </w:tblGrid>
      <w:tr w:rsidR="00992B38" w:rsidRPr="00992B38" w:rsidTr="00992B38">
        <w:tc>
          <w:tcPr>
            <w:tcW w:w="3364" w:type="pct"/>
          </w:tcPr>
          <w:p w:rsidR="00992B38" w:rsidRPr="00992B38" w:rsidRDefault="00992B38" w:rsidP="009B283D">
            <w:pPr>
              <w:jc w:val="both"/>
              <w:rPr>
                <w:sz w:val="18"/>
                <w:szCs w:val="18"/>
              </w:rPr>
            </w:pPr>
            <w:r w:rsidRPr="00992B38">
              <w:rPr>
                <w:sz w:val="18"/>
                <w:szCs w:val="18"/>
              </w:rPr>
              <w:t>FORMAZIONE</w:t>
            </w:r>
          </w:p>
        </w:tc>
        <w:tc>
          <w:tcPr>
            <w:tcW w:w="575" w:type="pct"/>
          </w:tcPr>
          <w:p w:rsidR="00992B38" w:rsidRPr="00992B38" w:rsidRDefault="00992B38" w:rsidP="00AF257D">
            <w:pPr>
              <w:jc w:val="center"/>
              <w:rPr>
                <w:sz w:val="18"/>
                <w:szCs w:val="18"/>
              </w:rPr>
            </w:pPr>
            <w:r w:rsidRPr="00992B38">
              <w:rPr>
                <w:sz w:val="18"/>
                <w:szCs w:val="18"/>
              </w:rPr>
              <w:t>Globale</w:t>
            </w:r>
          </w:p>
        </w:tc>
        <w:tc>
          <w:tcPr>
            <w:tcW w:w="503" w:type="pct"/>
          </w:tcPr>
          <w:p w:rsidR="00992B38" w:rsidRPr="00992B38" w:rsidRDefault="00992B38" w:rsidP="00AF257D">
            <w:pPr>
              <w:jc w:val="center"/>
              <w:rPr>
                <w:sz w:val="18"/>
                <w:szCs w:val="18"/>
              </w:rPr>
            </w:pPr>
            <w:r w:rsidRPr="00992B38">
              <w:rPr>
                <w:sz w:val="18"/>
                <w:szCs w:val="18"/>
              </w:rPr>
              <w:t>I ciclo</w:t>
            </w:r>
          </w:p>
        </w:tc>
        <w:tc>
          <w:tcPr>
            <w:tcW w:w="558" w:type="pct"/>
          </w:tcPr>
          <w:p w:rsidR="00992B38" w:rsidRPr="00992B38" w:rsidRDefault="00992B38" w:rsidP="00AF257D">
            <w:pPr>
              <w:jc w:val="center"/>
              <w:rPr>
                <w:sz w:val="18"/>
                <w:szCs w:val="18"/>
              </w:rPr>
            </w:pPr>
            <w:r w:rsidRPr="00992B38">
              <w:rPr>
                <w:sz w:val="18"/>
                <w:szCs w:val="18"/>
              </w:rPr>
              <w:t>II  ciclo</w:t>
            </w:r>
          </w:p>
        </w:tc>
      </w:tr>
      <w:tr w:rsidR="00992B38" w:rsidRPr="00992B38" w:rsidTr="008151DE">
        <w:tc>
          <w:tcPr>
            <w:tcW w:w="3364" w:type="pct"/>
          </w:tcPr>
          <w:p w:rsidR="00992B38" w:rsidRPr="00992B38" w:rsidRDefault="00992B38" w:rsidP="009B283D">
            <w:pPr>
              <w:jc w:val="both"/>
              <w:rPr>
                <w:sz w:val="18"/>
                <w:szCs w:val="18"/>
              </w:rPr>
            </w:pPr>
            <w:r w:rsidRPr="00992B38">
              <w:rPr>
                <w:sz w:val="18"/>
                <w:szCs w:val="18"/>
              </w:rPr>
              <w:t>formazione personale</w:t>
            </w:r>
          </w:p>
        </w:tc>
        <w:tc>
          <w:tcPr>
            <w:tcW w:w="575" w:type="pct"/>
            <w:shd w:val="clear" w:color="auto" w:fill="auto"/>
          </w:tcPr>
          <w:p w:rsidR="00992B38" w:rsidRPr="00992B38" w:rsidRDefault="00BD17D5" w:rsidP="00992B38">
            <w:pPr>
              <w:jc w:val="center"/>
              <w:rPr>
                <w:sz w:val="18"/>
                <w:szCs w:val="18"/>
              </w:rPr>
            </w:pPr>
            <w:r>
              <w:rPr>
                <w:sz w:val="18"/>
                <w:szCs w:val="18"/>
              </w:rPr>
              <w:t>74,6</w:t>
            </w:r>
          </w:p>
        </w:tc>
        <w:tc>
          <w:tcPr>
            <w:tcW w:w="503" w:type="pct"/>
            <w:shd w:val="clear" w:color="auto" w:fill="auto"/>
          </w:tcPr>
          <w:p w:rsidR="00992B38" w:rsidRPr="00992B38" w:rsidRDefault="00BD17D5" w:rsidP="00992B38">
            <w:pPr>
              <w:jc w:val="center"/>
              <w:rPr>
                <w:sz w:val="18"/>
                <w:szCs w:val="18"/>
              </w:rPr>
            </w:pPr>
            <w:r>
              <w:rPr>
                <w:sz w:val="18"/>
                <w:szCs w:val="18"/>
              </w:rPr>
              <w:t>74,7</w:t>
            </w:r>
          </w:p>
        </w:tc>
        <w:tc>
          <w:tcPr>
            <w:tcW w:w="558" w:type="pct"/>
            <w:shd w:val="clear" w:color="auto" w:fill="auto"/>
          </w:tcPr>
          <w:p w:rsidR="00992B38" w:rsidRPr="00992B38" w:rsidRDefault="00BD17D5" w:rsidP="00992B38">
            <w:pPr>
              <w:jc w:val="center"/>
              <w:rPr>
                <w:sz w:val="18"/>
                <w:szCs w:val="18"/>
              </w:rPr>
            </w:pPr>
            <w:r>
              <w:rPr>
                <w:sz w:val="18"/>
                <w:szCs w:val="18"/>
              </w:rPr>
              <w:t>74,3</w:t>
            </w:r>
          </w:p>
        </w:tc>
      </w:tr>
      <w:tr w:rsidR="00992B38" w:rsidRPr="00992B38" w:rsidTr="008151DE">
        <w:tc>
          <w:tcPr>
            <w:tcW w:w="3364" w:type="pct"/>
          </w:tcPr>
          <w:p w:rsidR="00992B38" w:rsidRPr="00992B38" w:rsidRDefault="00992B38" w:rsidP="009B283D">
            <w:pPr>
              <w:jc w:val="both"/>
              <w:rPr>
                <w:sz w:val="18"/>
                <w:szCs w:val="18"/>
              </w:rPr>
            </w:pPr>
            <w:r w:rsidRPr="00992B38">
              <w:rPr>
                <w:sz w:val="18"/>
                <w:szCs w:val="18"/>
              </w:rPr>
              <w:t>tutor</w:t>
            </w:r>
          </w:p>
        </w:tc>
        <w:tc>
          <w:tcPr>
            <w:tcW w:w="575" w:type="pct"/>
            <w:shd w:val="clear" w:color="auto" w:fill="auto"/>
          </w:tcPr>
          <w:p w:rsidR="00992B38" w:rsidRPr="00992B38" w:rsidRDefault="00BD17D5" w:rsidP="00992B38">
            <w:pPr>
              <w:jc w:val="center"/>
              <w:rPr>
                <w:sz w:val="18"/>
                <w:szCs w:val="18"/>
              </w:rPr>
            </w:pPr>
            <w:r>
              <w:rPr>
                <w:sz w:val="18"/>
                <w:szCs w:val="18"/>
              </w:rPr>
              <w:t>75,4</w:t>
            </w:r>
          </w:p>
        </w:tc>
        <w:tc>
          <w:tcPr>
            <w:tcW w:w="503" w:type="pct"/>
            <w:shd w:val="clear" w:color="auto" w:fill="auto"/>
          </w:tcPr>
          <w:p w:rsidR="00992B38" w:rsidRPr="00992B38" w:rsidRDefault="00BD17D5" w:rsidP="00992B38">
            <w:pPr>
              <w:jc w:val="center"/>
              <w:rPr>
                <w:sz w:val="18"/>
                <w:szCs w:val="18"/>
              </w:rPr>
            </w:pPr>
            <w:r>
              <w:rPr>
                <w:sz w:val="18"/>
                <w:szCs w:val="18"/>
              </w:rPr>
              <w:t>75,9</w:t>
            </w:r>
          </w:p>
        </w:tc>
        <w:tc>
          <w:tcPr>
            <w:tcW w:w="558" w:type="pct"/>
            <w:shd w:val="clear" w:color="auto" w:fill="auto"/>
          </w:tcPr>
          <w:p w:rsidR="00992B38" w:rsidRPr="00992B38" w:rsidRDefault="00BD17D5" w:rsidP="00992B38">
            <w:pPr>
              <w:jc w:val="center"/>
              <w:rPr>
                <w:sz w:val="18"/>
                <w:szCs w:val="18"/>
              </w:rPr>
            </w:pPr>
            <w:r>
              <w:rPr>
                <w:sz w:val="18"/>
                <w:szCs w:val="18"/>
              </w:rPr>
              <w:t>74,3</w:t>
            </w:r>
          </w:p>
        </w:tc>
      </w:tr>
    </w:tbl>
    <w:p w:rsidR="00781C26" w:rsidRDefault="00781C26" w:rsidP="00992B38">
      <w:pPr>
        <w:spacing w:after="0"/>
        <w:jc w:val="both"/>
      </w:pPr>
    </w:p>
    <w:p w:rsidR="00C63246" w:rsidRDefault="00C63246" w:rsidP="00C63246">
      <w:pPr>
        <w:spacing w:after="0"/>
        <w:jc w:val="center"/>
      </w:pPr>
      <w:r>
        <w:rPr>
          <w:noProof/>
          <w:lang w:eastAsia="it-IT"/>
        </w:rPr>
        <w:lastRenderedPageBreak/>
        <w:drawing>
          <wp:inline distT="0" distB="0" distL="0" distR="0" wp14:anchorId="7DF406C2" wp14:editId="3C1CE7AC">
            <wp:extent cx="4192438" cy="2268747"/>
            <wp:effectExtent l="0" t="0" r="17780" b="17780"/>
            <wp:docPr id="14" name="Gra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63246" w:rsidRDefault="00C63246" w:rsidP="00992B38">
      <w:pPr>
        <w:spacing w:after="0"/>
        <w:jc w:val="both"/>
      </w:pPr>
    </w:p>
    <w:p w:rsidR="001F370A" w:rsidRDefault="001F370A" w:rsidP="00992B38">
      <w:pPr>
        <w:spacing w:after="0"/>
        <w:jc w:val="both"/>
      </w:pPr>
    </w:p>
    <w:tbl>
      <w:tblPr>
        <w:tblStyle w:val="Grigliatabella"/>
        <w:tblW w:w="5000" w:type="pct"/>
        <w:tblLook w:val="04A0" w:firstRow="1" w:lastRow="0" w:firstColumn="1" w:lastColumn="0" w:noHBand="0" w:noVBand="1"/>
      </w:tblPr>
      <w:tblGrid>
        <w:gridCol w:w="6630"/>
        <w:gridCol w:w="1133"/>
        <w:gridCol w:w="991"/>
        <w:gridCol w:w="1100"/>
      </w:tblGrid>
      <w:tr w:rsidR="00992B38" w:rsidRPr="00992B38" w:rsidTr="00AF257D">
        <w:tc>
          <w:tcPr>
            <w:tcW w:w="3364" w:type="pct"/>
          </w:tcPr>
          <w:p w:rsidR="00992B38" w:rsidRPr="00992B38" w:rsidRDefault="002D5355" w:rsidP="00AF257D">
            <w:pPr>
              <w:jc w:val="both"/>
              <w:rPr>
                <w:sz w:val="18"/>
                <w:szCs w:val="18"/>
              </w:rPr>
            </w:pPr>
            <w:r>
              <w:rPr>
                <w:sz w:val="18"/>
                <w:szCs w:val="18"/>
              </w:rPr>
              <w:t xml:space="preserve">TEMPO </w:t>
            </w:r>
          </w:p>
        </w:tc>
        <w:tc>
          <w:tcPr>
            <w:tcW w:w="575" w:type="pct"/>
          </w:tcPr>
          <w:p w:rsidR="00992B38" w:rsidRPr="00992B38" w:rsidRDefault="00992B38" w:rsidP="00AF257D">
            <w:pPr>
              <w:jc w:val="center"/>
              <w:rPr>
                <w:sz w:val="18"/>
                <w:szCs w:val="18"/>
              </w:rPr>
            </w:pPr>
            <w:r w:rsidRPr="00992B38">
              <w:rPr>
                <w:sz w:val="18"/>
                <w:szCs w:val="18"/>
              </w:rPr>
              <w:t>Globale</w:t>
            </w:r>
          </w:p>
        </w:tc>
        <w:tc>
          <w:tcPr>
            <w:tcW w:w="503" w:type="pct"/>
          </w:tcPr>
          <w:p w:rsidR="00992B38" w:rsidRPr="00992B38" w:rsidRDefault="00992B38" w:rsidP="00AF257D">
            <w:pPr>
              <w:jc w:val="center"/>
              <w:rPr>
                <w:sz w:val="18"/>
                <w:szCs w:val="18"/>
              </w:rPr>
            </w:pPr>
            <w:r w:rsidRPr="00992B38">
              <w:rPr>
                <w:sz w:val="18"/>
                <w:szCs w:val="18"/>
              </w:rPr>
              <w:t>I ciclo</w:t>
            </w:r>
          </w:p>
        </w:tc>
        <w:tc>
          <w:tcPr>
            <w:tcW w:w="558" w:type="pct"/>
          </w:tcPr>
          <w:p w:rsidR="00992B38" w:rsidRPr="00992B38" w:rsidRDefault="00992B38" w:rsidP="00AF257D">
            <w:pPr>
              <w:jc w:val="center"/>
              <w:rPr>
                <w:sz w:val="18"/>
                <w:szCs w:val="18"/>
              </w:rPr>
            </w:pPr>
            <w:r w:rsidRPr="00992B38">
              <w:rPr>
                <w:sz w:val="18"/>
                <w:szCs w:val="18"/>
              </w:rPr>
              <w:t>II  ciclo</w:t>
            </w:r>
          </w:p>
        </w:tc>
      </w:tr>
      <w:tr w:rsidR="00992B38" w:rsidRPr="00992B38" w:rsidTr="0068067E">
        <w:tc>
          <w:tcPr>
            <w:tcW w:w="3364" w:type="pct"/>
          </w:tcPr>
          <w:p w:rsidR="00992B38" w:rsidRPr="00992B38" w:rsidRDefault="002D5355" w:rsidP="00AF257D">
            <w:pPr>
              <w:jc w:val="both"/>
              <w:rPr>
                <w:sz w:val="18"/>
                <w:szCs w:val="18"/>
              </w:rPr>
            </w:pPr>
            <w:r w:rsidRPr="00992B38">
              <w:rPr>
                <w:sz w:val="18"/>
                <w:szCs w:val="18"/>
              </w:rPr>
              <w:t>D</w:t>
            </w:r>
            <w:r w:rsidR="00992B38" w:rsidRPr="00992B38">
              <w:rPr>
                <w:sz w:val="18"/>
                <w:szCs w:val="18"/>
              </w:rPr>
              <w:t>isponibilità</w:t>
            </w:r>
            <w:r>
              <w:rPr>
                <w:sz w:val="18"/>
                <w:szCs w:val="18"/>
              </w:rPr>
              <w:t xml:space="preserve"> a sostituire i colleghi</w:t>
            </w:r>
          </w:p>
        </w:tc>
        <w:tc>
          <w:tcPr>
            <w:tcW w:w="575" w:type="pct"/>
          </w:tcPr>
          <w:p w:rsidR="00992B38" w:rsidRPr="00992B38" w:rsidRDefault="00BD17D5" w:rsidP="00BD17D5">
            <w:pPr>
              <w:jc w:val="center"/>
              <w:rPr>
                <w:sz w:val="18"/>
                <w:szCs w:val="18"/>
              </w:rPr>
            </w:pPr>
            <w:r>
              <w:rPr>
                <w:sz w:val="18"/>
                <w:szCs w:val="18"/>
              </w:rPr>
              <w:t>30,3</w:t>
            </w:r>
          </w:p>
        </w:tc>
        <w:tc>
          <w:tcPr>
            <w:tcW w:w="503" w:type="pct"/>
            <w:shd w:val="clear" w:color="auto" w:fill="auto"/>
          </w:tcPr>
          <w:p w:rsidR="00992B38" w:rsidRPr="00992B38" w:rsidRDefault="00BD17D5" w:rsidP="00BD17D5">
            <w:pPr>
              <w:jc w:val="center"/>
              <w:rPr>
                <w:sz w:val="18"/>
                <w:szCs w:val="18"/>
              </w:rPr>
            </w:pPr>
            <w:r>
              <w:rPr>
                <w:sz w:val="18"/>
                <w:szCs w:val="18"/>
              </w:rPr>
              <w:t>33,7</w:t>
            </w:r>
          </w:p>
        </w:tc>
        <w:tc>
          <w:tcPr>
            <w:tcW w:w="558" w:type="pct"/>
          </w:tcPr>
          <w:p w:rsidR="00992B38" w:rsidRPr="00992B38" w:rsidRDefault="00BD17D5" w:rsidP="00BD17D5">
            <w:pPr>
              <w:jc w:val="center"/>
              <w:rPr>
                <w:sz w:val="18"/>
                <w:szCs w:val="18"/>
              </w:rPr>
            </w:pPr>
            <w:r>
              <w:rPr>
                <w:sz w:val="18"/>
                <w:szCs w:val="18"/>
              </w:rPr>
              <w:t>23</w:t>
            </w:r>
          </w:p>
        </w:tc>
      </w:tr>
      <w:tr w:rsidR="00615158" w:rsidRPr="00992B38" w:rsidTr="0068067E">
        <w:tc>
          <w:tcPr>
            <w:tcW w:w="3364" w:type="pct"/>
          </w:tcPr>
          <w:p w:rsidR="00992B38" w:rsidRPr="00992B38" w:rsidRDefault="00992B38" w:rsidP="00AF257D">
            <w:pPr>
              <w:jc w:val="both"/>
              <w:rPr>
                <w:sz w:val="18"/>
                <w:szCs w:val="18"/>
              </w:rPr>
            </w:pPr>
            <w:r w:rsidRPr="00992B38">
              <w:rPr>
                <w:sz w:val="18"/>
                <w:szCs w:val="18"/>
              </w:rPr>
              <w:t>impegni oltre orario</w:t>
            </w:r>
          </w:p>
        </w:tc>
        <w:tc>
          <w:tcPr>
            <w:tcW w:w="575" w:type="pct"/>
          </w:tcPr>
          <w:p w:rsidR="00992B38" w:rsidRPr="00992B38" w:rsidRDefault="00BD17D5" w:rsidP="00BD17D5">
            <w:pPr>
              <w:jc w:val="center"/>
              <w:rPr>
                <w:sz w:val="18"/>
                <w:szCs w:val="18"/>
              </w:rPr>
            </w:pPr>
            <w:r>
              <w:rPr>
                <w:sz w:val="18"/>
                <w:szCs w:val="18"/>
              </w:rPr>
              <w:t>37,7</w:t>
            </w:r>
          </w:p>
        </w:tc>
        <w:tc>
          <w:tcPr>
            <w:tcW w:w="503" w:type="pct"/>
            <w:shd w:val="clear" w:color="auto" w:fill="auto"/>
          </w:tcPr>
          <w:p w:rsidR="00992B38" w:rsidRPr="00992B38" w:rsidRDefault="00BD17D5" w:rsidP="00BD17D5">
            <w:pPr>
              <w:jc w:val="center"/>
              <w:rPr>
                <w:sz w:val="18"/>
                <w:szCs w:val="18"/>
              </w:rPr>
            </w:pPr>
            <w:r>
              <w:rPr>
                <w:sz w:val="18"/>
                <w:szCs w:val="18"/>
              </w:rPr>
              <w:t>32,5</w:t>
            </w:r>
          </w:p>
        </w:tc>
        <w:tc>
          <w:tcPr>
            <w:tcW w:w="558" w:type="pct"/>
            <w:shd w:val="clear" w:color="auto" w:fill="auto"/>
          </w:tcPr>
          <w:p w:rsidR="00992B38" w:rsidRPr="00992B38" w:rsidRDefault="00BD17D5" w:rsidP="00BD17D5">
            <w:pPr>
              <w:jc w:val="center"/>
              <w:rPr>
                <w:sz w:val="18"/>
                <w:szCs w:val="18"/>
              </w:rPr>
            </w:pPr>
            <w:r>
              <w:rPr>
                <w:sz w:val="18"/>
                <w:szCs w:val="18"/>
              </w:rPr>
              <w:t>48,7</w:t>
            </w:r>
          </w:p>
        </w:tc>
      </w:tr>
    </w:tbl>
    <w:p w:rsidR="00992B38" w:rsidRDefault="00992B38" w:rsidP="009B283D">
      <w:pPr>
        <w:jc w:val="both"/>
      </w:pPr>
    </w:p>
    <w:p w:rsidR="00C63246" w:rsidRDefault="00E90E23" w:rsidP="00E90E23">
      <w:pPr>
        <w:jc w:val="center"/>
      </w:pPr>
      <w:r>
        <w:rPr>
          <w:noProof/>
          <w:lang w:eastAsia="it-IT"/>
        </w:rPr>
        <w:drawing>
          <wp:inline distT="0" distB="0" distL="0" distR="0" wp14:anchorId="4AFFBD07" wp14:editId="500395D3">
            <wp:extent cx="4813540" cy="1880559"/>
            <wp:effectExtent l="0" t="0" r="25400" b="24765"/>
            <wp:docPr id="22" name="Gra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47580" w:rsidRDefault="006C7FE6" w:rsidP="00947580">
      <w:pPr>
        <w:spacing w:line="360" w:lineRule="auto"/>
        <w:jc w:val="both"/>
      </w:pPr>
      <w:r>
        <w:t xml:space="preserve">Il complesso delle voci previste nell’ambito dei tre criteri evidenza la varietà e la vastità dei compiti e delle azioni </w:t>
      </w:r>
      <w:r w:rsidR="00507480">
        <w:t>che le scuole mettono in atto per</w:t>
      </w:r>
      <w:r>
        <w:t xml:space="preserve"> promuovere appieno le competenze </w:t>
      </w:r>
      <w:r w:rsidR="00507480">
        <w:t>degli</w:t>
      </w:r>
      <w:r>
        <w:t xml:space="preserve"> allievi</w:t>
      </w:r>
      <w:r w:rsidR="00507480">
        <w:t xml:space="preserve"> e per organizzare efficacemente tutte le attività che fanno capo all’erogazione del servizio istruzione</w:t>
      </w:r>
      <w:r>
        <w:t xml:space="preserve">. </w:t>
      </w:r>
      <w:r w:rsidR="00947AC1">
        <w:t>All’interno del quadro d’insieme</w:t>
      </w:r>
      <w:r w:rsidR="00507480">
        <w:t xml:space="preserve"> che ne deriva</w:t>
      </w:r>
      <w:r w:rsidR="00947AC1">
        <w:t xml:space="preserve">, al singolo </w:t>
      </w:r>
      <w:r w:rsidR="00A924BB">
        <w:t>insegnante</w:t>
      </w:r>
      <w:r w:rsidR="00947AC1">
        <w:t xml:space="preserve"> viene chiesto di definire il proprio contributo individuale</w:t>
      </w:r>
      <w:r w:rsidR="00A924BB">
        <w:t>,</w:t>
      </w:r>
      <w:r w:rsidR="00947AC1">
        <w:t xml:space="preserve"> attraverso</w:t>
      </w:r>
      <w:r w:rsidR="002D5355">
        <w:t xml:space="preserve"> la creazione di una  sorta di </w:t>
      </w:r>
      <w:r w:rsidR="002D5355" w:rsidRPr="005113D7">
        <w:rPr>
          <w:i/>
        </w:rPr>
        <w:t>portfolio</w:t>
      </w:r>
      <w:r w:rsidR="002D5355">
        <w:t xml:space="preserve"> che sappia raccogliere</w:t>
      </w:r>
      <w:r w:rsidR="003C5EF5">
        <w:t>,</w:t>
      </w:r>
      <w:r w:rsidR="002D5355">
        <w:t xml:space="preserve"> anche attraverso </w:t>
      </w:r>
      <w:r w:rsidR="0028026F">
        <w:t xml:space="preserve">diverse modalità </w:t>
      </w:r>
      <w:r w:rsidR="003C5EF5">
        <w:t>di documentazione,</w:t>
      </w:r>
      <w:r w:rsidR="002D5355">
        <w:t xml:space="preserve"> la </w:t>
      </w:r>
      <w:r w:rsidR="00947AC1">
        <w:t xml:space="preserve">sua </w:t>
      </w:r>
      <w:r w:rsidR="002D5355">
        <w:t>biografia professionale d</w:t>
      </w:r>
      <w:r w:rsidR="00947AC1">
        <w:t>i</w:t>
      </w:r>
      <w:r w:rsidR="002D5355">
        <w:t xml:space="preserve"> </w:t>
      </w:r>
      <w:r w:rsidR="00A924BB">
        <w:t>docente</w:t>
      </w:r>
      <w:r w:rsidR="002D5355">
        <w:t>.</w:t>
      </w:r>
    </w:p>
    <w:p w:rsidR="00947580" w:rsidRDefault="002D5355" w:rsidP="00A20D15">
      <w:pPr>
        <w:spacing w:line="360" w:lineRule="auto"/>
        <w:jc w:val="both"/>
      </w:pPr>
      <w:r>
        <w:t xml:space="preserve"> </w:t>
      </w:r>
      <w:r w:rsidR="00947580">
        <w:t xml:space="preserve">In sintesi, l’indagine rileva un significativo impegno da parte delle istituzioni campionate e una riflessione attenta per l’individuazione di tutti gli ambiti e le attività  in cui si estrinseca la professionalità docente, diligentemente rapportate ai contesti scolastici specifici,  alle progettualità e alle tipicità organizzative delle singole scuole.  La sfida che l’art. 129 della L.107/2015 ha lanciato è stata raccolta dalle scuole piemontesi, </w:t>
      </w:r>
      <w:r w:rsidR="00947580" w:rsidRPr="00947580">
        <w:t xml:space="preserve">con velocità e modalità diverse a seconda delle biografie culturali e professionali delle singole istituzioni, </w:t>
      </w:r>
      <w:r w:rsidR="002E5823">
        <w:t xml:space="preserve">ma comunque </w:t>
      </w:r>
      <w:r w:rsidR="00947580">
        <w:t>con grande serietà</w:t>
      </w:r>
      <w:r w:rsidR="002E5823">
        <w:t xml:space="preserve"> e</w:t>
      </w:r>
      <w:r w:rsidR="00947580">
        <w:t xml:space="preserve"> come un’opportunità da non perdere per incentivare chi opera quotidianamente per lo sviluppo della comunità</w:t>
      </w:r>
      <w:r w:rsidR="002E5823">
        <w:t xml:space="preserve"> scolastica e delle competenze dei </w:t>
      </w:r>
      <w:r w:rsidR="00507480">
        <w:t>propri</w:t>
      </w:r>
      <w:r w:rsidR="002E5823">
        <w:t xml:space="preserve"> allievi.</w:t>
      </w:r>
    </w:p>
    <w:p w:rsidR="0028448A" w:rsidRDefault="0028448A" w:rsidP="00781C26">
      <w:pPr>
        <w:rPr>
          <w:sz w:val="18"/>
          <w:szCs w:val="18"/>
        </w:rPr>
      </w:pPr>
    </w:p>
    <w:p w:rsidR="00BE4EAB" w:rsidRDefault="00BE4EAB" w:rsidP="00781C26">
      <w:pPr>
        <w:rPr>
          <w:sz w:val="18"/>
          <w:szCs w:val="18"/>
        </w:rPr>
      </w:pPr>
    </w:p>
    <w:p w:rsidR="00BE4EAB" w:rsidRDefault="00BE4EAB" w:rsidP="00781C26">
      <w:pPr>
        <w:rPr>
          <w:sz w:val="18"/>
          <w:szCs w:val="18"/>
        </w:rPr>
      </w:pPr>
    </w:p>
    <w:p w:rsidR="00BE4EAB" w:rsidRDefault="00BE4EAB" w:rsidP="00781C26">
      <w:pPr>
        <w:rPr>
          <w:sz w:val="18"/>
          <w:szCs w:val="18"/>
        </w:rPr>
      </w:pPr>
    </w:p>
    <w:p w:rsidR="00BE4EAB" w:rsidRDefault="00BE4EAB" w:rsidP="00781C26">
      <w:pPr>
        <w:rPr>
          <w:sz w:val="18"/>
          <w:szCs w:val="18"/>
        </w:rPr>
      </w:pPr>
    </w:p>
    <w:p w:rsidR="00BE4EAB" w:rsidRDefault="00BE4EAB" w:rsidP="00781C26">
      <w:pPr>
        <w:rPr>
          <w:sz w:val="18"/>
          <w:szCs w:val="18"/>
        </w:rPr>
      </w:pPr>
    </w:p>
    <w:p w:rsidR="00E90E23" w:rsidRDefault="00E90E23" w:rsidP="00781C26">
      <w:pPr>
        <w:rPr>
          <w:sz w:val="18"/>
          <w:szCs w:val="18"/>
        </w:rPr>
      </w:pPr>
    </w:p>
    <w:p w:rsidR="00E90E23" w:rsidRDefault="00E90E23" w:rsidP="00781C26">
      <w:pPr>
        <w:rPr>
          <w:sz w:val="18"/>
          <w:szCs w:val="18"/>
        </w:rPr>
      </w:pPr>
    </w:p>
    <w:p w:rsidR="00E90E23" w:rsidRDefault="00E90E23" w:rsidP="00781C26">
      <w:pPr>
        <w:rPr>
          <w:sz w:val="18"/>
          <w:szCs w:val="18"/>
        </w:rPr>
      </w:pPr>
    </w:p>
    <w:p w:rsidR="00E90E23" w:rsidRDefault="00E90E23" w:rsidP="00781C26">
      <w:pPr>
        <w:rPr>
          <w:sz w:val="18"/>
          <w:szCs w:val="18"/>
        </w:rPr>
      </w:pPr>
    </w:p>
    <w:p w:rsidR="00E90E23" w:rsidRDefault="00E90E23" w:rsidP="00781C26">
      <w:pPr>
        <w:rPr>
          <w:sz w:val="18"/>
          <w:szCs w:val="18"/>
        </w:rPr>
      </w:pPr>
    </w:p>
    <w:p w:rsidR="00E90E23" w:rsidRDefault="00E90E23" w:rsidP="00781C26">
      <w:pPr>
        <w:rPr>
          <w:sz w:val="18"/>
          <w:szCs w:val="18"/>
        </w:rPr>
      </w:pPr>
    </w:p>
    <w:p w:rsidR="00E90E23" w:rsidRDefault="00E90E23" w:rsidP="00781C26">
      <w:pPr>
        <w:rPr>
          <w:sz w:val="18"/>
          <w:szCs w:val="18"/>
        </w:rPr>
      </w:pPr>
    </w:p>
    <w:p w:rsidR="00E90E23" w:rsidRDefault="00E90E23" w:rsidP="00781C26">
      <w:pPr>
        <w:rPr>
          <w:sz w:val="18"/>
          <w:szCs w:val="18"/>
        </w:rPr>
      </w:pPr>
    </w:p>
    <w:p w:rsidR="00E90E23" w:rsidRDefault="00E90E23" w:rsidP="00781C26">
      <w:pPr>
        <w:rPr>
          <w:sz w:val="18"/>
          <w:szCs w:val="18"/>
        </w:rPr>
      </w:pPr>
    </w:p>
    <w:p w:rsidR="00E90E23" w:rsidRDefault="00E90E23" w:rsidP="00781C26">
      <w:pPr>
        <w:rPr>
          <w:sz w:val="18"/>
          <w:szCs w:val="18"/>
        </w:rPr>
      </w:pPr>
    </w:p>
    <w:p w:rsidR="00E90E23" w:rsidRDefault="00E90E23" w:rsidP="00781C26">
      <w:pPr>
        <w:rPr>
          <w:sz w:val="18"/>
          <w:szCs w:val="18"/>
        </w:rPr>
      </w:pPr>
    </w:p>
    <w:p w:rsidR="00E90E23" w:rsidRDefault="00E90E23" w:rsidP="00781C26">
      <w:pPr>
        <w:rPr>
          <w:sz w:val="18"/>
          <w:szCs w:val="18"/>
        </w:rPr>
      </w:pPr>
    </w:p>
    <w:p w:rsidR="00BE4EAB" w:rsidRDefault="00BE4EAB" w:rsidP="00781C26">
      <w:pPr>
        <w:rPr>
          <w:sz w:val="18"/>
          <w:szCs w:val="18"/>
        </w:rPr>
      </w:pPr>
    </w:p>
    <w:p w:rsidR="00E90E23" w:rsidRDefault="00E90E23" w:rsidP="00781C26">
      <w:pPr>
        <w:rPr>
          <w:sz w:val="18"/>
          <w:szCs w:val="18"/>
        </w:rPr>
      </w:pPr>
    </w:p>
    <w:p w:rsidR="00E90E23" w:rsidRDefault="00E90E23" w:rsidP="00781C26">
      <w:pPr>
        <w:rPr>
          <w:sz w:val="18"/>
          <w:szCs w:val="18"/>
        </w:rPr>
      </w:pPr>
    </w:p>
    <w:p w:rsidR="00E90E23" w:rsidRDefault="00E90E23" w:rsidP="00781C26">
      <w:pPr>
        <w:rPr>
          <w:sz w:val="18"/>
          <w:szCs w:val="18"/>
        </w:rPr>
      </w:pPr>
    </w:p>
    <w:p w:rsidR="00E90E23" w:rsidRDefault="00E90E23" w:rsidP="00781C26">
      <w:pPr>
        <w:rPr>
          <w:sz w:val="18"/>
          <w:szCs w:val="18"/>
        </w:rPr>
      </w:pPr>
    </w:p>
    <w:p w:rsidR="00E90E23" w:rsidRDefault="00E90E23" w:rsidP="00781C26">
      <w:pPr>
        <w:rPr>
          <w:sz w:val="18"/>
          <w:szCs w:val="18"/>
        </w:rPr>
      </w:pPr>
    </w:p>
    <w:p w:rsidR="00E90E23" w:rsidRDefault="00E90E23" w:rsidP="00781C26">
      <w:pPr>
        <w:rPr>
          <w:sz w:val="18"/>
          <w:szCs w:val="18"/>
        </w:rPr>
      </w:pPr>
    </w:p>
    <w:p w:rsidR="00E90E23" w:rsidRDefault="00E90E23" w:rsidP="00781C26">
      <w:pPr>
        <w:rPr>
          <w:sz w:val="18"/>
          <w:szCs w:val="18"/>
        </w:rPr>
      </w:pPr>
    </w:p>
    <w:p w:rsidR="00E90E23" w:rsidRDefault="00E90E23" w:rsidP="00781C26">
      <w:pPr>
        <w:rPr>
          <w:sz w:val="18"/>
          <w:szCs w:val="18"/>
        </w:rPr>
      </w:pPr>
    </w:p>
    <w:p w:rsidR="00E90E23" w:rsidRDefault="00E90E23" w:rsidP="00781C26">
      <w:pPr>
        <w:rPr>
          <w:sz w:val="18"/>
          <w:szCs w:val="18"/>
        </w:rPr>
      </w:pPr>
    </w:p>
    <w:p w:rsidR="0028448A" w:rsidRDefault="0028448A" w:rsidP="00781C26">
      <w:pPr>
        <w:rPr>
          <w:sz w:val="18"/>
          <w:szCs w:val="18"/>
        </w:rPr>
      </w:pPr>
    </w:p>
    <w:p w:rsidR="00781C26" w:rsidRPr="003566D1" w:rsidRDefault="001F370A" w:rsidP="00781C26">
      <w:pPr>
        <w:rPr>
          <w:sz w:val="18"/>
          <w:szCs w:val="18"/>
        </w:rPr>
      </w:pPr>
      <w:r>
        <w:rPr>
          <w:sz w:val="18"/>
          <w:szCs w:val="18"/>
        </w:rPr>
        <w:t xml:space="preserve"> Allegato 1</w:t>
      </w:r>
    </w:p>
    <w:tbl>
      <w:tblPr>
        <w:tblW w:w="5000" w:type="pct"/>
        <w:tblCellMar>
          <w:left w:w="70" w:type="dxa"/>
          <w:right w:w="70" w:type="dxa"/>
        </w:tblCellMar>
        <w:tblLook w:val="04A0" w:firstRow="1" w:lastRow="0" w:firstColumn="1" w:lastColumn="0" w:noHBand="0" w:noVBand="1"/>
      </w:tblPr>
      <w:tblGrid>
        <w:gridCol w:w="1772"/>
        <w:gridCol w:w="3827"/>
        <w:gridCol w:w="4179"/>
      </w:tblGrid>
      <w:tr w:rsidR="00781C26" w:rsidRPr="003566D1" w:rsidTr="00781C26">
        <w:trPr>
          <w:trHeight w:val="300"/>
        </w:trPr>
        <w:tc>
          <w:tcPr>
            <w:tcW w:w="906" w:type="pct"/>
            <w:tcBorders>
              <w:top w:val="nil"/>
              <w:left w:val="nil"/>
              <w:bottom w:val="nil"/>
              <w:right w:val="nil"/>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p>
        </w:tc>
        <w:tc>
          <w:tcPr>
            <w:tcW w:w="1957" w:type="pct"/>
            <w:tcBorders>
              <w:top w:val="nil"/>
              <w:left w:val="nil"/>
              <w:bottom w:val="nil"/>
              <w:right w:val="nil"/>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p>
        </w:tc>
        <w:tc>
          <w:tcPr>
            <w:tcW w:w="2137" w:type="pct"/>
            <w:tcBorders>
              <w:top w:val="nil"/>
              <w:left w:val="nil"/>
              <w:bottom w:val="nil"/>
              <w:right w:val="nil"/>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p>
        </w:tc>
      </w:tr>
      <w:tr w:rsidR="00781C26" w:rsidRPr="003566D1" w:rsidTr="00781C26">
        <w:trPr>
          <w:trHeight w:val="300"/>
        </w:trPr>
        <w:tc>
          <w:tcPr>
            <w:tcW w:w="9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PROV</w:t>
            </w:r>
          </w:p>
        </w:tc>
        <w:tc>
          <w:tcPr>
            <w:tcW w:w="1957" w:type="pct"/>
            <w:tcBorders>
              <w:top w:val="single" w:sz="4" w:space="0" w:color="auto"/>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SCUOLA</w:t>
            </w:r>
          </w:p>
        </w:tc>
        <w:tc>
          <w:tcPr>
            <w:tcW w:w="2137" w:type="pct"/>
            <w:tcBorders>
              <w:top w:val="single" w:sz="4" w:space="0" w:color="auto"/>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 </w:t>
            </w:r>
          </w:p>
        </w:tc>
      </w:tr>
      <w:tr w:rsidR="00781C26" w:rsidRPr="003566D1" w:rsidTr="00781C26">
        <w:trPr>
          <w:trHeight w:val="300"/>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lastRenderedPageBreak/>
              <w:t>AL</w:t>
            </w:r>
          </w:p>
        </w:tc>
        <w:tc>
          <w:tcPr>
            <w:tcW w:w="195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 xml:space="preserve">ALIC809001 </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Rivalta Bormida</w:t>
            </w:r>
          </w:p>
        </w:tc>
      </w:tr>
      <w:tr w:rsidR="00781C26" w:rsidRPr="003566D1" w:rsidTr="00781C26">
        <w:trPr>
          <w:trHeight w:val="300"/>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AL</w:t>
            </w:r>
          </w:p>
        </w:tc>
        <w:tc>
          <w:tcPr>
            <w:tcW w:w="195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ALIC836009</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Acqui I</w:t>
            </w:r>
          </w:p>
        </w:tc>
      </w:tr>
      <w:tr w:rsidR="00781C26" w:rsidRPr="003566D1" w:rsidTr="00781C26">
        <w:trPr>
          <w:trHeight w:val="300"/>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AL</w:t>
            </w:r>
          </w:p>
        </w:tc>
        <w:tc>
          <w:tcPr>
            <w:tcW w:w="195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ALIC81700X</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Spinetta</w:t>
            </w:r>
          </w:p>
        </w:tc>
      </w:tr>
      <w:tr w:rsidR="00781C26" w:rsidRPr="003566D1" w:rsidTr="00781C26">
        <w:trPr>
          <w:trHeight w:val="300"/>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AL</w:t>
            </w:r>
          </w:p>
        </w:tc>
        <w:tc>
          <w:tcPr>
            <w:tcW w:w="195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ALIC81800Q</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Felizzano</w:t>
            </w:r>
          </w:p>
        </w:tc>
      </w:tr>
      <w:tr w:rsidR="00781C26" w:rsidRPr="003566D1" w:rsidTr="00781C26">
        <w:trPr>
          <w:trHeight w:val="300"/>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AL</w:t>
            </w:r>
          </w:p>
        </w:tc>
        <w:tc>
          <w:tcPr>
            <w:tcW w:w="195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ALIC832002</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Casale Mon.to I</w:t>
            </w:r>
          </w:p>
        </w:tc>
      </w:tr>
      <w:tr w:rsidR="00781C26" w:rsidRPr="003566D1" w:rsidTr="00781C26">
        <w:trPr>
          <w:trHeight w:val="300"/>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AL</w:t>
            </w:r>
          </w:p>
        </w:tc>
        <w:tc>
          <w:tcPr>
            <w:tcW w:w="195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ALIC82500V</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 xml:space="preserve">Galilei </w:t>
            </w:r>
          </w:p>
        </w:tc>
      </w:tr>
      <w:tr w:rsidR="00781C26" w:rsidRPr="003566D1" w:rsidTr="00A81422">
        <w:trPr>
          <w:trHeight w:val="300"/>
        </w:trPr>
        <w:tc>
          <w:tcPr>
            <w:tcW w:w="906" w:type="pct"/>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AL</w:t>
            </w:r>
          </w:p>
        </w:tc>
        <w:tc>
          <w:tcPr>
            <w:tcW w:w="1957" w:type="pct"/>
            <w:tcBorders>
              <w:top w:val="nil"/>
              <w:left w:val="nil"/>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ALTF01000R</w:t>
            </w:r>
          </w:p>
        </w:tc>
        <w:tc>
          <w:tcPr>
            <w:tcW w:w="2137" w:type="pct"/>
            <w:tcBorders>
              <w:top w:val="nil"/>
              <w:left w:val="nil"/>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Volta</w:t>
            </w:r>
          </w:p>
        </w:tc>
      </w:tr>
      <w:tr w:rsidR="00781C26" w:rsidRPr="003566D1" w:rsidTr="00781C26">
        <w:trPr>
          <w:trHeight w:val="300"/>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AL</w:t>
            </w:r>
          </w:p>
        </w:tc>
        <w:tc>
          <w:tcPr>
            <w:tcW w:w="195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ALIS003006</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R. Montalcini</w:t>
            </w:r>
          </w:p>
        </w:tc>
      </w:tr>
      <w:tr w:rsidR="00781C26" w:rsidRPr="003566D1" w:rsidTr="00781C26">
        <w:trPr>
          <w:trHeight w:val="300"/>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AL</w:t>
            </w:r>
          </w:p>
        </w:tc>
        <w:tc>
          <w:tcPr>
            <w:tcW w:w="195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ALIS00600N</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Da Vinci</w:t>
            </w:r>
          </w:p>
        </w:tc>
      </w:tr>
      <w:tr w:rsidR="00781C26" w:rsidRPr="003566D1" w:rsidTr="00781C26">
        <w:trPr>
          <w:trHeight w:val="300"/>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AL</w:t>
            </w:r>
          </w:p>
        </w:tc>
        <w:tc>
          <w:tcPr>
            <w:tcW w:w="195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ALIS016008</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Plana</w:t>
            </w:r>
          </w:p>
        </w:tc>
      </w:tr>
    </w:tbl>
    <w:p w:rsidR="00781C26" w:rsidRDefault="00781C26" w:rsidP="00781C26"/>
    <w:tbl>
      <w:tblPr>
        <w:tblW w:w="5000" w:type="pct"/>
        <w:tblCellMar>
          <w:left w:w="70" w:type="dxa"/>
          <w:right w:w="70" w:type="dxa"/>
        </w:tblCellMar>
        <w:tblLook w:val="04A0" w:firstRow="1" w:lastRow="0" w:firstColumn="1" w:lastColumn="0" w:noHBand="0" w:noVBand="1"/>
      </w:tblPr>
      <w:tblGrid>
        <w:gridCol w:w="1772"/>
        <w:gridCol w:w="3827"/>
        <w:gridCol w:w="4179"/>
      </w:tblGrid>
      <w:tr w:rsidR="00781C26" w:rsidRPr="003566D1" w:rsidTr="00781C26">
        <w:trPr>
          <w:trHeight w:val="300"/>
        </w:trPr>
        <w:tc>
          <w:tcPr>
            <w:tcW w:w="9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PROV</w:t>
            </w:r>
          </w:p>
        </w:tc>
        <w:tc>
          <w:tcPr>
            <w:tcW w:w="1957" w:type="pct"/>
            <w:tcBorders>
              <w:top w:val="single" w:sz="4" w:space="0" w:color="auto"/>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SCUOLA</w:t>
            </w:r>
          </w:p>
        </w:tc>
        <w:tc>
          <w:tcPr>
            <w:tcW w:w="2137" w:type="pct"/>
            <w:tcBorders>
              <w:top w:val="single" w:sz="4" w:space="0" w:color="auto"/>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 </w:t>
            </w:r>
          </w:p>
        </w:tc>
      </w:tr>
      <w:tr w:rsidR="00781C26" w:rsidRPr="003566D1" w:rsidTr="00781C26">
        <w:trPr>
          <w:trHeight w:val="300"/>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AT</w:t>
            </w:r>
          </w:p>
        </w:tc>
        <w:tc>
          <w:tcPr>
            <w:tcW w:w="195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ATIC816005</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Nizza M.to</w:t>
            </w:r>
          </w:p>
        </w:tc>
      </w:tr>
      <w:tr w:rsidR="00781C26" w:rsidRPr="003566D1" w:rsidTr="00781C26">
        <w:trPr>
          <w:trHeight w:val="300"/>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AT</w:t>
            </w:r>
          </w:p>
        </w:tc>
        <w:tc>
          <w:tcPr>
            <w:tcW w:w="195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ATIC81400D</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Jona</w:t>
            </w:r>
          </w:p>
        </w:tc>
      </w:tr>
      <w:tr w:rsidR="00781C26" w:rsidRPr="003566D1" w:rsidTr="00781C26">
        <w:trPr>
          <w:trHeight w:val="300"/>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AT</w:t>
            </w:r>
          </w:p>
        </w:tc>
        <w:tc>
          <w:tcPr>
            <w:tcW w:w="195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ATIC80100B</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Cocconato</w:t>
            </w:r>
          </w:p>
        </w:tc>
      </w:tr>
      <w:tr w:rsidR="00781C26" w:rsidRPr="003566D1" w:rsidTr="00781C26">
        <w:trPr>
          <w:trHeight w:val="300"/>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AT</w:t>
            </w:r>
          </w:p>
        </w:tc>
        <w:tc>
          <w:tcPr>
            <w:tcW w:w="195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ATIC80400V</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Moncalvo</w:t>
            </w:r>
          </w:p>
        </w:tc>
      </w:tr>
      <w:tr w:rsidR="00781C26" w:rsidRPr="003566D1" w:rsidTr="00781C26">
        <w:trPr>
          <w:trHeight w:val="300"/>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AT</w:t>
            </w:r>
          </w:p>
        </w:tc>
        <w:tc>
          <w:tcPr>
            <w:tcW w:w="195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ATIC81300N</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Canelli</w:t>
            </w:r>
          </w:p>
        </w:tc>
      </w:tr>
      <w:tr w:rsidR="00781C26" w:rsidRPr="003566D1" w:rsidTr="00A81422">
        <w:trPr>
          <w:trHeight w:val="300"/>
        </w:trPr>
        <w:tc>
          <w:tcPr>
            <w:tcW w:w="906" w:type="pct"/>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AT</w:t>
            </w:r>
          </w:p>
        </w:tc>
        <w:tc>
          <w:tcPr>
            <w:tcW w:w="1957" w:type="pct"/>
            <w:tcBorders>
              <w:top w:val="nil"/>
              <w:left w:val="nil"/>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ATIS00200B</w:t>
            </w:r>
          </w:p>
        </w:tc>
        <w:tc>
          <w:tcPr>
            <w:tcW w:w="2137" w:type="pct"/>
            <w:tcBorders>
              <w:top w:val="nil"/>
              <w:left w:val="nil"/>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proofErr w:type="spellStart"/>
            <w:r w:rsidRPr="003566D1">
              <w:rPr>
                <w:rFonts w:ascii="Calibri" w:eastAsia="Times New Roman" w:hAnsi="Calibri" w:cs="Times New Roman"/>
                <w:color w:val="000000"/>
                <w:sz w:val="16"/>
                <w:szCs w:val="16"/>
                <w:lang w:eastAsia="it-IT"/>
              </w:rPr>
              <w:t>Pellati</w:t>
            </w:r>
            <w:proofErr w:type="spellEnd"/>
          </w:p>
        </w:tc>
      </w:tr>
      <w:tr w:rsidR="00781C26" w:rsidRPr="003566D1" w:rsidTr="00A81422">
        <w:trPr>
          <w:trHeight w:val="300"/>
        </w:trPr>
        <w:tc>
          <w:tcPr>
            <w:tcW w:w="906" w:type="pct"/>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AT</w:t>
            </w:r>
          </w:p>
        </w:tc>
        <w:tc>
          <w:tcPr>
            <w:tcW w:w="1957" w:type="pct"/>
            <w:tcBorders>
              <w:top w:val="nil"/>
              <w:left w:val="nil"/>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ATIS00600P</w:t>
            </w:r>
          </w:p>
        </w:tc>
        <w:tc>
          <w:tcPr>
            <w:tcW w:w="2137" w:type="pct"/>
            <w:tcBorders>
              <w:top w:val="nil"/>
              <w:left w:val="nil"/>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proofErr w:type="spellStart"/>
            <w:r w:rsidRPr="003566D1">
              <w:rPr>
                <w:rFonts w:ascii="Calibri" w:eastAsia="Times New Roman" w:hAnsi="Calibri" w:cs="Times New Roman"/>
                <w:color w:val="000000"/>
                <w:sz w:val="16"/>
                <w:szCs w:val="16"/>
                <w:lang w:eastAsia="it-IT"/>
              </w:rPr>
              <w:t>Giobert</w:t>
            </w:r>
            <w:proofErr w:type="spellEnd"/>
          </w:p>
        </w:tc>
      </w:tr>
    </w:tbl>
    <w:p w:rsidR="00781C26" w:rsidRDefault="00781C26" w:rsidP="00781C26"/>
    <w:tbl>
      <w:tblPr>
        <w:tblW w:w="5000" w:type="pct"/>
        <w:tblCellMar>
          <w:left w:w="70" w:type="dxa"/>
          <w:right w:w="70" w:type="dxa"/>
        </w:tblCellMar>
        <w:tblLook w:val="04A0" w:firstRow="1" w:lastRow="0" w:firstColumn="1" w:lastColumn="0" w:noHBand="0" w:noVBand="1"/>
      </w:tblPr>
      <w:tblGrid>
        <w:gridCol w:w="1772"/>
        <w:gridCol w:w="3827"/>
        <w:gridCol w:w="4179"/>
      </w:tblGrid>
      <w:tr w:rsidR="00781C26" w:rsidRPr="003566D1" w:rsidTr="00781C26">
        <w:trPr>
          <w:trHeight w:val="300"/>
        </w:trPr>
        <w:tc>
          <w:tcPr>
            <w:tcW w:w="9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PROV</w:t>
            </w:r>
          </w:p>
        </w:tc>
        <w:tc>
          <w:tcPr>
            <w:tcW w:w="1957" w:type="pct"/>
            <w:tcBorders>
              <w:top w:val="single" w:sz="4" w:space="0" w:color="auto"/>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SCUOLA</w:t>
            </w:r>
          </w:p>
        </w:tc>
        <w:tc>
          <w:tcPr>
            <w:tcW w:w="2137" w:type="pct"/>
            <w:tcBorders>
              <w:top w:val="single" w:sz="4" w:space="0" w:color="auto"/>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 </w:t>
            </w:r>
          </w:p>
        </w:tc>
      </w:tr>
      <w:tr w:rsidR="00781C26" w:rsidRPr="003566D1" w:rsidTr="00781C26">
        <w:trPr>
          <w:trHeight w:val="300"/>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BI</w:t>
            </w:r>
          </w:p>
        </w:tc>
        <w:tc>
          <w:tcPr>
            <w:tcW w:w="195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BIIC803001</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Pettinengo</w:t>
            </w:r>
          </w:p>
        </w:tc>
      </w:tr>
      <w:tr w:rsidR="00781C26" w:rsidRPr="003566D1" w:rsidTr="00781C26">
        <w:trPr>
          <w:trHeight w:val="300"/>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BI</w:t>
            </w:r>
          </w:p>
        </w:tc>
        <w:tc>
          <w:tcPr>
            <w:tcW w:w="195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BIIC80400R</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Trivero</w:t>
            </w:r>
          </w:p>
        </w:tc>
      </w:tr>
      <w:tr w:rsidR="00781C26" w:rsidRPr="003566D1" w:rsidTr="00781C26">
        <w:trPr>
          <w:trHeight w:val="300"/>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BI</w:t>
            </w:r>
          </w:p>
        </w:tc>
        <w:tc>
          <w:tcPr>
            <w:tcW w:w="195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BIIC80500L</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Valle Mosso</w:t>
            </w:r>
          </w:p>
        </w:tc>
      </w:tr>
      <w:tr w:rsidR="00781C26" w:rsidRPr="003566D1" w:rsidTr="00781C26">
        <w:trPr>
          <w:trHeight w:val="300"/>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BI</w:t>
            </w:r>
          </w:p>
        </w:tc>
        <w:tc>
          <w:tcPr>
            <w:tcW w:w="195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BIIS00600L</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Bona</w:t>
            </w:r>
          </w:p>
        </w:tc>
      </w:tr>
      <w:tr w:rsidR="00781C26" w:rsidRPr="003566D1" w:rsidTr="00A81422">
        <w:trPr>
          <w:trHeight w:val="300"/>
        </w:trPr>
        <w:tc>
          <w:tcPr>
            <w:tcW w:w="906" w:type="pct"/>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BI</w:t>
            </w:r>
          </w:p>
        </w:tc>
        <w:tc>
          <w:tcPr>
            <w:tcW w:w="1957" w:type="pct"/>
            <w:tcBorders>
              <w:top w:val="nil"/>
              <w:left w:val="nil"/>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BIIS004001</w:t>
            </w:r>
          </w:p>
        </w:tc>
        <w:tc>
          <w:tcPr>
            <w:tcW w:w="2137" w:type="pct"/>
            <w:tcBorders>
              <w:top w:val="nil"/>
              <w:left w:val="nil"/>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Cossatese</w:t>
            </w:r>
          </w:p>
        </w:tc>
      </w:tr>
    </w:tbl>
    <w:p w:rsidR="00781C26" w:rsidRDefault="00781C26" w:rsidP="00781C26"/>
    <w:tbl>
      <w:tblPr>
        <w:tblW w:w="5000" w:type="pct"/>
        <w:tblCellMar>
          <w:left w:w="70" w:type="dxa"/>
          <w:right w:w="70" w:type="dxa"/>
        </w:tblCellMar>
        <w:tblLook w:val="04A0" w:firstRow="1" w:lastRow="0" w:firstColumn="1" w:lastColumn="0" w:noHBand="0" w:noVBand="1"/>
      </w:tblPr>
      <w:tblGrid>
        <w:gridCol w:w="1774"/>
        <w:gridCol w:w="3825"/>
        <w:gridCol w:w="4179"/>
      </w:tblGrid>
      <w:tr w:rsidR="00781C26" w:rsidRPr="003566D1" w:rsidTr="00781C26">
        <w:trPr>
          <w:trHeight w:val="300"/>
        </w:trPr>
        <w:tc>
          <w:tcPr>
            <w:tcW w:w="9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PROV</w:t>
            </w:r>
          </w:p>
        </w:tc>
        <w:tc>
          <w:tcPr>
            <w:tcW w:w="1956" w:type="pct"/>
            <w:tcBorders>
              <w:top w:val="single" w:sz="4" w:space="0" w:color="auto"/>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SCUOLA</w:t>
            </w:r>
          </w:p>
        </w:tc>
        <w:tc>
          <w:tcPr>
            <w:tcW w:w="2137" w:type="pct"/>
            <w:tcBorders>
              <w:top w:val="single" w:sz="4" w:space="0" w:color="auto"/>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 </w:t>
            </w:r>
          </w:p>
        </w:tc>
      </w:tr>
      <w:tr w:rsidR="00781C26" w:rsidRPr="003566D1" w:rsidTr="00781C26">
        <w:trPr>
          <w:trHeight w:val="300"/>
        </w:trPr>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w:t>
            </w:r>
          </w:p>
        </w:tc>
        <w:tc>
          <w:tcPr>
            <w:tcW w:w="1956" w:type="pct"/>
            <w:tcBorders>
              <w:top w:val="nil"/>
              <w:left w:val="nil"/>
              <w:bottom w:val="nil"/>
              <w:right w:val="nil"/>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4E4E4E"/>
                <w:sz w:val="16"/>
                <w:szCs w:val="16"/>
                <w:lang w:eastAsia="it-IT"/>
              </w:rPr>
            </w:pPr>
            <w:r w:rsidRPr="003566D1">
              <w:rPr>
                <w:rFonts w:ascii="Calibri" w:eastAsia="Times New Roman" w:hAnsi="Calibri" w:cs="Times New Roman"/>
                <w:color w:val="4E4E4E"/>
                <w:sz w:val="16"/>
                <w:szCs w:val="16"/>
                <w:lang w:eastAsia="it-IT"/>
              </w:rPr>
              <w:t>CNIC85200G</w:t>
            </w:r>
          </w:p>
        </w:tc>
        <w:tc>
          <w:tcPr>
            <w:tcW w:w="2137"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Papa Giovanni XIII Savigliano</w:t>
            </w:r>
          </w:p>
        </w:tc>
      </w:tr>
      <w:tr w:rsidR="00781C26" w:rsidRPr="003566D1" w:rsidTr="00781C26">
        <w:trPr>
          <w:trHeight w:val="300"/>
        </w:trPr>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w:t>
            </w:r>
          </w:p>
        </w:tc>
        <w:tc>
          <w:tcPr>
            <w:tcW w:w="1956" w:type="pct"/>
            <w:tcBorders>
              <w:top w:val="single" w:sz="4" w:space="0" w:color="auto"/>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CNIC812005</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Villanova Mondovì</w:t>
            </w:r>
          </w:p>
        </w:tc>
      </w:tr>
      <w:tr w:rsidR="00781C26" w:rsidRPr="003566D1" w:rsidTr="00781C26">
        <w:trPr>
          <w:trHeight w:val="300"/>
        </w:trPr>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w:t>
            </w:r>
          </w:p>
        </w:tc>
        <w:tc>
          <w:tcPr>
            <w:tcW w:w="1956"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CNIC81600C</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proofErr w:type="spellStart"/>
            <w:r w:rsidRPr="003566D1">
              <w:rPr>
                <w:rFonts w:ascii="Calibri" w:eastAsia="Times New Roman" w:hAnsi="Calibri" w:cs="Times New Roman"/>
                <w:color w:val="000000"/>
                <w:sz w:val="16"/>
                <w:szCs w:val="16"/>
                <w:lang w:eastAsia="it-IT"/>
              </w:rPr>
              <w:t>Cortemiglia</w:t>
            </w:r>
            <w:proofErr w:type="spellEnd"/>
          </w:p>
        </w:tc>
      </w:tr>
      <w:tr w:rsidR="00781C26" w:rsidRPr="003566D1" w:rsidTr="00781C26">
        <w:trPr>
          <w:trHeight w:val="300"/>
        </w:trPr>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w:t>
            </w:r>
          </w:p>
        </w:tc>
        <w:tc>
          <w:tcPr>
            <w:tcW w:w="1956"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CNEE00300C</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Cuneo III</w:t>
            </w:r>
          </w:p>
        </w:tc>
      </w:tr>
      <w:tr w:rsidR="00781C26" w:rsidRPr="003566D1" w:rsidTr="00781C26">
        <w:trPr>
          <w:trHeight w:val="300"/>
        </w:trPr>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w:t>
            </w:r>
          </w:p>
        </w:tc>
        <w:tc>
          <w:tcPr>
            <w:tcW w:w="1956" w:type="pct"/>
            <w:tcBorders>
              <w:top w:val="nil"/>
              <w:left w:val="nil"/>
              <w:bottom w:val="nil"/>
              <w:right w:val="nil"/>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sz w:val="16"/>
                <w:szCs w:val="16"/>
                <w:lang w:eastAsia="it-IT"/>
              </w:rPr>
            </w:pPr>
            <w:r w:rsidRPr="003566D1">
              <w:rPr>
                <w:rFonts w:ascii="Calibri" w:eastAsia="Times New Roman" w:hAnsi="Calibri" w:cs="Times New Roman"/>
                <w:sz w:val="16"/>
                <w:szCs w:val="16"/>
                <w:lang w:eastAsia="it-IT"/>
              </w:rPr>
              <w:t>CNIC85600V</w:t>
            </w:r>
          </w:p>
        </w:tc>
        <w:tc>
          <w:tcPr>
            <w:tcW w:w="2137"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Alba Centro Storico</w:t>
            </w:r>
          </w:p>
        </w:tc>
      </w:tr>
      <w:tr w:rsidR="00781C26" w:rsidRPr="003566D1" w:rsidTr="00781C26">
        <w:trPr>
          <w:trHeight w:val="300"/>
        </w:trPr>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w:t>
            </w:r>
          </w:p>
        </w:tc>
        <w:tc>
          <w:tcPr>
            <w:tcW w:w="1956" w:type="pct"/>
            <w:tcBorders>
              <w:top w:val="single" w:sz="4" w:space="0" w:color="auto"/>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CNEE03200C</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Fossano I</w:t>
            </w:r>
          </w:p>
        </w:tc>
      </w:tr>
      <w:tr w:rsidR="00781C26" w:rsidRPr="003566D1" w:rsidTr="00781C26">
        <w:trPr>
          <w:trHeight w:val="300"/>
        </w:trPr>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w:t>
            </w:r>
          </w:p>
        </w:tc>
        <w:tc>
          <w:tcPr>
            <w:tcW w:w="1956"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CNEE033008</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Fossano II</w:t>
            </w:r>
          </w:p>
        </w:tc>
      </w:tr>
      <w:tr w:rsidR="00781C26" w:rsidRPr="003566D1" w:rsidTr="00781C26">
        <w:trPr>
          <w:trHeight w:val="300"/>
        </w:trPr>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w:t>
            </w:r>
          </w:p>
        </w:tc>
        <w:tc>
          <w:tcPr>
            <w:tcW w:w="1956"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CNEE03700G</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Mondovì II</w:t>
            </w:r>
          </w:p>
        </w:tc>
      </w:tr>
      <w:tr w:rsidR="00781C26" w:rsidRPr="003566D1" w:rsidTr="00781C26">
        <w:trPr>
          <w:trHeight w:val="300"/>
        </w:trPr>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w:t>
            </w:r>
          </w:p>
        </w:tc>
        <w:tc>
          <w:tcPr>
            <w:tcW w:w="1956"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CNEE063004</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Bra CD I</w:t>
            </w:r>
          </w:p>
        </w:tc>
      </w:tr>
      <w:tr w:rsidR="00781C26" w:rsidRPr="003566D1" w:rsidTr="00781C26">
        <w:trPr>
          <w:trHeight w:val="300"/>
        </w:trPr>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w:t>
            </w:r>
          </w:p>
        </w:tc>
        <w:tc>
          <w:tcPr>
            <w:tcW w:w="1956"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CNEE06400X</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Bra CD II</w:t>
            </w:r>
          </w:p>
        </w:tc>
      </w:tr>
      <w:tr w:rsidR="00781C26" w:rsidRPr="003566D1" w:rsidTr="00781C26">
        <w:trPr>
          <w:trHeight w:val="300"/>
        </w:trPr>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w:t>
            </w:r>
          </w:p>
        </w:tc>
        <w:tc>
          <w:tcPr>
            <w:tcW w:w="1956"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CNEE069003</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Mondovì I</w:t>
            </w:r>
          </w:p>
        </w:tc>
      </w:tr>
      <w:tr w:rsidR="00781C26" w:rsidRPr="003566D1" w:rsidTr="00781C26">
        <w:trPr>
          <w:trHeight w:val="300"/>
        </w:trPr>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w:t>
            </w:r>
          </w:p>
        </w:tc>
        <w:tc>
          <w:tcPr>
            <w:tcW w:w="1956"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CNIC80700N</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 xml:space="preserve">IC </w:t>
            </w:r>
            <w:proofErr w:type="spellStart"/>
            <w:r w:rsidRPr="003566D1">
              <w:rPr>
                <w:rFonts w:ascii="Calibri" w:eastAsia="Times New Roman" w:hAnsi="Calibri" w:cs="Times New Roman"/>
                <w:color w:val="000000"/>
                <w:sz w:val="16"/>
                <w:szCs w:val="16"/>
                <w:lang w:eastAsia="it-IT"/>
              </w:rPr>
              <w:t>Benevagenna</w:t>
            </w:r>
            <w:proofErr w:type="spellEnd"/>
          </w:p>
        </w:tc>
      </w:tr>
      <w:tr w:rsidR="00781C26" w:rsidRPr="003566D1" w:rsidTr="00781C26">
        <w:trPr>
          <w:trHeight w:val="300"/>
        </w:trPr>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w:t>
            </w:r>
          </w:p>
        </w:tc>
        <w:tc>
          <w:tcPr>
            <w:tcW w:w="1956"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CNIC80800D</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proofErr w:type="spellStart"/>
            <w:r w:rsidRPr="003566D1">
              <w:rPr>
                <w:rFonts w:ascii="Calibri" w:eastAsia="Times New Roman" w:hAnsi="Calibri" w:cs="Times New Roman"/>
                <w:color w:val="000000"/>
                <w:sz w:val="16"/>
                <w:szCs w:val="16"/>
                <w:lang w:eastAsia="it-IT"/>
              </w:rPr>
              <w:t>Grandis</w:t>
            </w:r>
            <w:proofErr w:type="spellEnd"/>
            <w:r w:rsidRPr="003566D1">
              <w:rPr>
                <w:rFonts w:ascii="Calibri" w:eastAsia="Times New Roman" w:hAnsi="Calibri" w:cs="Times New Roman"/>
                <w:color w:val="000000"/>
                <w:sz w:val="16"/>
                <w:szCs w:val="16"/>
                <w:lang w:eastAsia="it-IT"/>
              </w:rPr>
              <w:t xml:space="preserve"> Borgo S. Dalmazzo</w:t>
            </w:r>
          </w:p>
        </w:tc>
      </w:tr>
      <w:tr w:rsidR="00781C26" w:rsidRPr="003566D1" w:rsidTr="00781C26">
        <w:trPr>
          <w:trHeight w:val="300"/>
        </w:trPr>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w:t>
            </w:r>
          </w:p>
        </w:tc>
        <w:tc>
          <w:tcPr>
            <w:tcW w:w="1956"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CNIC811009</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S. Michele Mondovì</w:t>
            </w:r>
          </w:p>
        </w:tc>
      </w:tr>
      <w:tr w:rsidR="00781C26" w:rsidRPr="003566D1" w:rsidTr="00781C26">
        <w:trPr>
          <w:trHeight w:val="300"/>
        </w:trPr>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w:t>
            </w:r>
          </w:p>
        </w:tc>
        <w:tc>
          <w:tcPr>
            <w:tcW w:w="1956"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CNTF010005</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 xml:space="preserve">Del Pozzo </w:t>
            </w:r>
          </w:p>
        </w:tc>
      </w:tr>
      <w:tr w:rsidR="00781C26" w:rsidRPr="003566D1" w:rsidTr="00781C26">
        <w:trPr>
          <w:trHeight w:val="300"/>
        </w:trPr>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w:t>
            </w:r>
          </w:p>
        </w:tc>
        <w:tc>
          <w:tcPr>
            <w:tcW w:w="1956"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CNTD04000P</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Bonelli</w:t>
            </w:r>
          </w:p>
        </w:tc>
      </w:tr>
      <w:tr w:rsidR="00781C26" w:rsidRPr="003566D1" w:rsidTr="00781C26">
        <w:trPr>
          <w:trHeight w:val="300"/>
        </w:trPr>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lastRenderedPageBreak/>
              <w:t>CN</w:t>
            </w:r>
          </w:p>
        </w:tc>
        <w:tc>
          <w:tcPr>
            <w:tcW w:w="1956" w:type="pct"/>
            <w:tcBorders>
              <w:top w:val="nil"/>
              <w:left w:val="nil"/>
              <w:bottom w:val="nil"/>
              <w:right w:val="nil"/>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4E4E4E"/>
                <w:sz w:val="16"/>
                <w:szCs w:val="16"/>
                <w:lang w:eastAsia="it-IT"/>
              </w:rPr>
            </w:pPr>
            <w:r w:rsidRPr="003566D1">
              <w:rPr>
                <w:rFonts w:ascii="Calibri" w:eastAsia="Times New Roman" w:hAnsi="Calibri" w:cs="Times New Roman"/>
                <w:color w:val="4E4E4E"/>
                <w:sz w:val="16"/>
                <w:szCs w:val="16"/>
                <w:lang w:eastAsia="it-IT"/>
              </w:rPr>
              <w:t>CNPS010003</w:t>
            </w:r>
          </w:p>
        </w:tc>
        <w:tc>
          <w:tcPr>
            <w:tcW w:w="2137"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proofErr w:type="spellStart"/>
            <w:r w:rsidRPr="003566D1">
              <w:rPr>
                <w:rFonts w:ascii="Calibri" w:eastAsia="Times New Roman" w:hAnsi="Calibri" w:cs="Times New Roman"/>
                <w:color w:val="000000"/>
                <w:sz w:val="16"/>
                <w:szCs w:val="16"/>
                <w:lang w:eastAsia="it-IT"/>
              </w:rPr>
              <w:t>Ancina</w:t>
            </w:r>
            <w:proofErr w:type="spellEnd"/>
          </w:p>
        </w:tc>
      </w:tr>
      <w:tr w:rsidR="00781C26" w:rsidRPr="003566D1" w:rsidTr="00781C26">
        <w:trPr>
          <w:trHeight w:val="300"/>
        </w:trPr>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w:t>
            </w:r>
          </w:p>
        </w:tc>
        <w:tc>
          <w:tcPr>
            <w:tcW w:w="1956" w:type="pct"/>
            <w:tcBorders>
              <w:top w:val="single" w:sz="4" w:space="0" w:color="auto"/>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CNIS02400G</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Bianchi Virginio</w:t>
            </w:r>
          </w:p>
        </w:tc>
      </w:tr>
      <w:tr w:rsidR="00781C26" w:rsidRPr="003566D1" w:rsidTr="00781C26">
        <w:trPr>
          <w:trHeight w:val="300"/>
        </w:trPr>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w:t>
            </w:r>
          </w:p>
        </w:tc>
        <w:tc>
          <w:tcPr>
            <w:tcW w:w="1956" w:type="pct"/>
            <w:tcBorders>
              <w:top w:val="nil"/>
              <w:left w:val="nil"/>
              <w:bottom w:val="nil"/>
              <w:right w:val="nil"/>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4E4E4E"/>
                <w:sz w:val="16"/>
                <w:szCs w:val="16"/>
                <w:lang w:eastAsia="it-IT"/>
              </w:rPr>
            </w:pPr>
            <w:r w:rsidRPr="003566D1">
              <w:rPr>
                <w:rFonts w:ascii="Calibri" w:eastAsia="Times New Roman" w:hAnsi="Calibri" w:cs="Times New Roman"/>
                <w:color w:val="4E4E4E"/>
                <w:sz w:val="16"/>
                <w:szCs w:val="16"/>
                <w:lang w:eastAsia="it-IT"/>
              </w:rPr>
              <w:t>CNPS07000P</w:t>
            </w:r>
          </w:p>
        </w:tc>
        <w:tc>
          <w:tcPr>
            <w:tcW w:w="2137"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Vasco Govone</w:t>
            </w:r>
          </w:p>
        </w:tc>
      </w:tr>
      <w:tr w:rsidR="00781C26" w:rsidRPr="003566D1" w:rsidTr="00A81422">
        <w:trPr>
          <w:trHeight w:val="300"/>
        </w:trPr>
        <w:tc>
          <w:tcPr>
            <w:tcW w:w="907" w:type="pct"/>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w:t>
            </w:r>
          </w:p>
        </w:tc>
        <w:tc>
          <w:tcPr>
            <w:tcW w:w="1956" w:type="pct"/>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CNIS00200P</w:t>
            </w:r>
          </w:p>
        </w:tc>
        <w:tc>
          <w:tcPr>
            <w:tcW w:w="2137" w:type="pct"/>
            <w:tcBorders>
              <w:top w:val="nil"/>
              <w:left w:val="nil"/>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 xml:space="preserve">Aimone </w:t>
            </w:r>
            <w:proofErr w:type="spellStart"/>
            <w:r w:rsidRPr="003566D1">
              <w:rPr>
                <w:rFonts w:ascii="Calibri" w:eastAsia="Times New Roman" w:hAnsi="Calibri" w:cs="Times New Roman"/>
                <w:color w:val="000000"/>
                <w:sz w:val="16"/>
                <w:szCs w:val="16"/>
                <w:lang w:eastAsia="it-IT"/>
              </w:rPr>
              <w:t>Cravetta</w:t>
            </w:r>
            <w:proofErr w:type="spellEnd"/>
          </w:p>
        </w:tc>
      </w:tr>
      <w:tr w:rsidR="00781C26" w:rsidRPr="003566D1" w:rsidTr="00781C26">
        <w:trPr>
          <w:trHeight w:val="300"/>
        </w:trPr>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w:t>
            </w:r>
          </w:p>
        </w:tc>
        <w:tc>
          <w:tcPr>
            <w:tcW w:w="1956"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CNPM0400X</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L. Da Vinci Alba</w:t>
            </w:r>
          </w:p>
        </w:tc>
      </w:tr>
    </w:tbl>
    <w:p w:rsidR="00781C26" w:rsidRDefault="00781C26" w:rsidP="00781C26"/>
    <w:tbl>
      <w:tblPr>
        <w:tblW w:w="5000" w:type="pct"/>
        <w:tblCellMar>
          <w:left w:w="70" w:type="dxa"/>
          <w:right w:w="70" w:type="dxa"/>
        </w:tblCellMar>
        <w:tblLook w:val="04A0" w:firstRow="1" w:lastRow="0" w:firstColumn="1" w:lastColumn="0" w:noHBand="0" w:noVBand="1"/>
      </w:tblPr>
      <w:tblGrid>
        <w:gridCol w:w="1772"/>
        <w:gridCol w:w="3827"/>
        <w:gridCol w:w="4179"/>
      </w:tblGrid>
      <w:tr w:rsidR="00781C26" w:rsidRPr="003566D1" w:rsidTr="00781C26">
        <w:trPr>
          <w:trHeight w:val="300"/>
        </w:trPr>
        <w:tc>
          <w:tcPr>
            <w:tcW w:w="9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PROV</w:t>
            </w:r>
          </w:p>
        </w:tc>
        <w:tc>
          <w:tcPr>
            <w:tcW w:w="1957" w:type="pct"/>
            <w:tcBorders>
              <w:top w:val="single" w:sz="4" w:space="0" w:color="auto"/>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SCUOLA</w:t>
            </w:r>
          </w:p>
        </w:tc>
        <w:tc>
          <w:tcPr>
            <w:tcW w:w="2137" w:type="pct"/>
            <w:tcBorders>
              <w:top w:val="single" w:sz="4" w:space="0" w:color="auto"/>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 </w:t>
            </w:r>
          </w:p>
        </w:tc>
      </w:tr>
      <w:tr w:rsidR="00781C26" w:rsidRPr="003566D1" w:rsidTr="00781C26">
        <w:trPr>
          <w:trHeight w:val="300"/>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NO</w:t>
            </w:r>
          </w:p>
        </w:tc>
        <w:tc>
          <w:tcPr>
            <w:tcW w:w="195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NOIC80700P</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proofErr w:type="spellStart"/>
            <w:r w:rsidRPr="003566D1">
              <w:rPr>
                <w:rFonts w:ascii="Calibri" w:eastAsia="Times New Roman" w:hAnsi="Calibri" w:cs="Times New Roman"/>
                <w:color w:val="000000"/>
                <w:sz w:val="16"/>
                <w:szCs w:val="16"/>
                <w:lang w:eastAsia="it-IT"/>
              </w:rPr>
              <w:t>Fornara</w:t>
            </w:r>
            <w:proofErr w:type="spellEnd"/>
            <w:r w:rsidRPr="003566D1">
              <w:rPr>
                <w:rFonts w:ascii="Calibri" w:eastAsia="Times New Roman" w:hAnsi="Calibri" w:cs="Times New Roman"/>
                <w:color w:val="000000"/>
                <w:sz w:val="16"/>
                <w:szCs w:val="16"/>
                <w:lang w:eastAsia="it-IT"/>
              </w:rPr>
              <w:t xml:space="preserve"> Sesia</w:t>
            </w:r>
          </w:p>
        </w:tc>
      </w:tr>
      <w:tr w:rsidR="00781C26" w:rsidRPr="003566D1" w:rsidTr="00781C26">
        <w:trPr>
          <w:trHeight w:val="300"/>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NO</w:t>
            </w:r>
          </w:p>
        </w:tc>
        <w:tc>
          <w:tcPr>
            <w:tcW w:w="195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NOIC8100E</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Cameri</w:t>
            </w:r>
          </w:p>
        </w:tc>
      </w:tr>
      <w:tr w:rsidR="00781C26" w:rsidRPr="003566D1" w:rsidTr="00781C26">
        <w:trPr>
          <w:trHeight w:val="300"/>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NO</w:t>
            </w:r>
          </w:p>
        </w:tc>
        <w:tc>
          <w:tcPr>
            <w:tcW w:w="195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NOIC83000Q</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Musso</w:t>
            </w:r>
          </w:p>
        </w:tc>
      </w:tr>
      <w:tr w:rsidR="00781C26" w:rsidRPr="003566D1" w:rsidTr="00781C26">
        <w:trPr>
          <w:trHeight w:val="300"/>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NO</w:t>
            </w:r>
          </w:p>
        </w:tc>
        <w:tc>
          <w:tcPr>
            <w:tcW w:w="195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NOEE01500Q</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Borgomanero</w:t>
            </w:r>
          </w:p>
        </w:tc>
      </w:tr>
      <w:tr w:rsidR="00781C26" w:rsidRPr="003566D1" w:rsidTr="00781C26">
        <w:trPr>
          <w:trHeight w:val="300"/>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NO</w:t>
            </w:r>
          </w:p>
        </w:tc>
        <w:tc>
          <w:tcPr>
            <w:tcW w:w="195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NOIC82800Q</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proofErr w:type="spellStart"/>
            <w:r w:rsidRPr="003566D1">
              <w:rPr>
                <w:rFonts w:ascii="Calibri" w:eastAsia="Times New Roman" w:hAnsi="Calibri" w:cs="Times New Roman"/>
                <w:color w:val="000000"/>
                <w:sz w:val="16"/>
                <w:szCs w:val="16"/>
                <w:lang w:eastAsia="it-IT"/>
              </w:rPr>
              <w:t>Boroli</w:t>
            </w:r>
            <w:proofErr w:type="spellEnd"/>
          </w:p>
        </w:tc>
      </w:tr>
      <w:tr w:rsidR="00781C26" w:rsidRPr="003566D1" w:rsidTr="00781C26">
        <w:trPr>
          <w:trHeight w:val="300"/>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NO</w:t>
            </w:r>
          </w:p>
        </w:tc>
        <w:tc>
          <w:tcPr>
            <w:tcW w:w="195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NOIC804007</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S. Giulio</w:t>
            </w:r>
          </w:p>
        </w:tc>
      </w:tr>
      <w:tr w:rsidR="00781C26" w:rsidRPr="003566D1" w:rsidTr="00781C26">
        <w:trPr>
          <w:trHeight w:val="300"/>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NO</w:t>
            </w:r>
          </w:p>
        </w:tc>
        <w:tc>
          <w:tcPr>
            <w:tcW w:w="195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NOTF040002</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proofErr w:type="spellStart"/>
            <w:r w:rsidRPr="003566D1">
              <w:rPr>
                <w:rFonts w:ascii="Calibri" w:eastAsia="Times New Roman" w:hAnsi="Calibri" w:cs="Times New Roman"/>
                <w:color w:val="000000"/>
                <w:sz w:val="16"/>
                <w:szCs w:val="16"/>
                <w:lang w:eastAsia="it-IT"/>
              </w:rPr>
              <w:t>Fauser</w:t>
            </w:r>
            <w:proofErr w:type="spellEnd"/>
          </w:p>
        </w:tc>
      </w:tr>
      <w:tr w:rsidR="00781C26" w:rsidRPr="003566D1" w:rsidTr="00A81422">
        <w:trPr>
          <w:trHeight w:val="300"/>
        </w:trPr>
        <w:tc>
          <w:tcPr>
            <w:tcW w:w="906" w:type="pct"/>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NO</w:t>
            </w:r>
          </w:p>
        </w:tc>
        <w:tc>
          <w:tcPr>
            <w:tcW w:w="1957" w:type="pct"/>
            <w:tcBorders>
              <w:top w:val="nil"/>
              <w:left w:val="nil"/>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NOIS002004</w:t>
            </w:r>
          </w:p>
        </w:tc>
        <w:tc>
          <w:tcPr>
            <w:tcW w:w="2137" w:type="pct"/>
            <w:tcBorders>
              <w:top w:val="nil"/>
              <w:left w:val="nil"/>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Pascal</w:t>
            </w:r>
          </w:p>
        </w:tc>
      </w:tr>
      <w:tr w:rsidR="00781C26" w:rsidRPr="003566D1" w:rsidTr="00A81422">
        <w:trPr>
          <w:trHeight w:val="300"/>
        </w:trPr>
        <w:tc>
          <w:tcPr>
            <w:tcW w:w="906" w:type="pct"/>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NO</w:t>
            </w:r>
          </w:p>
        </w:tc>
        <w:tc>
          <w:tcPr>
            <w:tcW w:w="1957" w:type="pct"/>
            <w:tcBorders>
              <w:top w:val="nil"/>
              <w:left w:val="nil"/>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NOIS00400B</w:t>
            </w:r>
          </w:p>
        </w:tc>
        <w:tc>
          <w:tcPr>
            <w:tcW w:w="2137" w:type="pct"/>
            <w:tcBorders>
              <w:top w:val="nil"/>
              <w:left w:val="nil"/>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Fermi</w:t>
            </w:r>
          </w:p>
        </w:tc>
      </w:tr>
    </w:tbl>
    <w:p w:rsidR="00781C26" w:rsidRDefault="00781C26" w:rsidP="00781C26"/>
    <w:tbl>
      <w:tblPr>
        <w:tblW w:w="5000" w:type="pct"/>
        <w:tblCellMar>
          <w:left w:w="70" w:type="dxa"/>
          <w:right w:w="70" w:type="dxa"/>
        </w:tblCellMar>
        <w:tblLook w:val="04A0" w:firstRow="1" w:lastRow="0" w:firstColumn="1" w:lastColumn="0" w:noHBand="0" w:noVBand="1"/>
      </w:tblPr>
      <w:tblGrid>
        <w:gridCol w:w="1682"/>
        <w:gridCol w:w="3854"/>
        <w:gridCol w:w="4242"/>
      </w:tblGrid>
      <w:tr w:rsidR="00781C26" w:rsidRPr="003566D1" w:rsidTr="00781C26">
        <w:trPr>
          <w:trHeight w:val="300"/>
        </w:trPr>
        <w:tc>
          <w:tcPr>
            <w:tcW w:w="8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PROV</w:t>
            </w:r>
          </w:p>
        </w:tc>
        <w:tc>
          <w:tcPr>
            <w:tcW w:w="1971" w:type="pct"/>
            <w:tcBorders>
              <w:top w:val="single" w:sz="4" w:space="0" w:color="auto"/>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SCUOLA</w:t>
            </w:r>
          </w:p>
        </w:tc>
        <w:tc>
          <w:tcPr>
            <w:tcW w:w="2169" w:type="pct"/>
            <w:tcBorders>
              <w:top w:val="single" w:sz="4" w:space="0" w:color="auto"/>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 </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nil"/>
              <w:right w:val="nil"/>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sz w:val="16"/>
                <w:szCs w:val="16"/>
                <w:lang w:eastAsia="it-IT"/>
              </w:rPr>
            </w:pPr>
            <w:r w:rsidRPr="003566D1">
              <w:rPr>
                <w:rFonts w:ascii="Calibri" w:eastAsia="Times New Roman" w:hAnsi="Calibri" w:cs="Times New Roman"/>
                <w:sz w:val="16"/>
                <w:szCs w:val="16"/>
                <w:lang w:eastAsia="it-IT"/>
              </w:rPr>
              <w:t>TOEE024002</w:t>
            </w:r>
          </w:p>
        </w:tc>
        <w:tc>
          <w:tcPr>
            <w:tcW w:w="2169"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Duca D'Aosta</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single" w:sz="4" w:space="0" w:color="auto"/>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TOEE04100Q</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 xml:space="preserve">DD Mazzini </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TOEE10000A</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DD Chivasso III</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TOIC8AT00D</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IC Chieri IV</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TOEE14500X</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DD Pinerolo IV</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TOEE16800L</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DD San Giorgio Ca.se</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TOIC80600A</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IC Vistrorio</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TOIC815005</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 xml:space="preserve">IC </w:t>
            </w:r>
            <w:proofErr w:type="spellStart"/>
            <w:r w:rsidRPr="003566D1">
              <w:rPr>
                <w:rFonts w:ascii="Calibri" w:eastAsia="Times New Roman" w:hAnsi="Calibri" w:cs="Times New Roman"/>
                <w:color w:val="000000"/>
                <w:sz w:val="16"/>
                <w:szCs w:val="16"/>
                <w:lang w:eastAsia="it-IT"/>
              </w:rPr>
              <w:t>Tommaseo</w:t>
            </w:r>
            <w:proofErr w:type="spellEnd"/>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TOIC81900C</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IC Manzoni</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nil"/>
              <w:right w:val="nil"/>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4E4E4E"/>
                <w:sz w:val="16"/>
                <w:szCs w:val="16"/>
                <w:lang w:eastAsia="it-IT"/>
              </w:rPr>
            </w:pPr>
            <w:r w:rsidRPr="003566D1">
              <w:rPr>
                <w:rFonts w:ascii="Calibri" w:eastAsia="Times New Roman" w:hAnsi="Calibri" w:cs="Times New Roman"/>
                <w:color w:val="4E4E4E"/>
                <w:sz w:val="16"/>
                <w:szCs w:val="16"/>
                <w:lang w:eastAsia="it-IT"/>
              </w:rPr>
              <w:t>TOIC82700B</w:t>
            </w:r>
          </w:p>
        </w:tc>
        <w:tc>
          <w:tcPr>
            <w:tcW w:w="2169"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IC Corio</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single" w:sz="4" w:space="0" w:color="auto"/>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TOIC828007</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IC Fiano</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TOIC829003</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IC Balangero</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TOIC831003</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IC Sa. Maurizio Montessori</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TOIC89800D</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IC Alpignano</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TOIC845001</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IC Cavour</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TOIC887003</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IC Moncalieri Nasi</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TOIC84600R</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IC Cumiana</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TOIC881004</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IC Pertini</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TOIC85400Q</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IC Verolengo</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TOIC87600L</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IC Ricasoli</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TOIC857007</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IC Poirino</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TOIC87100D</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IC Rivoli Matteotti</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TOIC866002</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IC Cairoli Torino</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TOEE00400R</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 xml:space="preserve">DD Allievo </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TOEE01400B</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DD Collodi</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TOEE016003</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DD Coppino</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lastRenderedPageBreak/>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TOEE01700V</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 xml:space="preserve">DD Costa </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TOEE02700D</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DD A. Frank Torino</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TOEE029005</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DD Gabelli</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TOEE045003</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DD Novaro</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TOIC8AY00L</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IC Palazzeschi</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TOIC80400P</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IC Marro</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TOIC80500E</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IC Torino - Cena</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TOIC807006</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IC Perosa Argentina</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TOIC89200E</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IC Caselle T.se</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TOIC808002</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IC D. Vinci</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TOIC82400X</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IC S. Antonino Susa</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TOIC810002</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IC Turoldo</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TOIC87700C</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IC Regio Parco</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TOIC878008</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 xml:space="preserve">IC Saba </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TOIC85500G</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IC Pino T.se</w:t>
            </w:r>
          </w:p>
        </w:tc>
      </w:tr>
      <w:tr w:rsidR="00781C26" w:rsidRPr="003566D1" w:rsidTr="00A81422">
        <w:trPr>
          <w:trHeight w:val="300"/>
        </w:trPr>
        <w:tc>
          <w:tcPr>
            <w:tcW w:w="860" w:type="pct"/>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sz w:val="16"/>
                <w:szCs w:val="16"/>
                <w:lang w:eastAsia="it-IT"/>
              </w:rPr>
            </w:pPr>
            <w:r w:rsidRPr="003566D1">
              <w:rPr>
                <w:rFonts w:ascii="Calibri" w:eastAsia="Times New Roman" w:hAnsi="Calibri" w:cs="Times New Roman"/>
                <w:sz w:val="16"/>
                <w:szCs w:val="16"/>
                <w:lang w:eastAsia="it-IT"/>
              </w:rPr>
              <w:t>TOIS00100B</w:t>
            </w:r>
          </w:p>
        </w:tc>
        <w:tc>
          <w:tcPr>
            <w:tcW w:w="2169" w:type="pct"/>
            <w:tcBorders>
              <w:top w:val="nil"/>
              <w:left w:val="nil"/>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proofErr w:type="spellStart"/>
            <w:r w:rsidRPr="003566D1">
              <w:rPr>
                <w:rFonts w:ascii="Calibri" w:eastAsia="Times New Roman" w:hAnsi="Calibri" w:cs="Times New Roman"/>
                <w:color w:val="000000"/>
                <w:sz w:val="16"/>
                <w:szCs w:val="16"/>
                <w:lang w:eastAsia="it-IT"/>
              </w:rPr>
              <w:t>Des</w:t>
            </w:r>
            <w:proofErr w:type="spellEnd"/>
            <w:r w:rsidRPr="003566D1">
              <w:rPr>
                <w:rFonts w:ascii="Calibri" w:eastAsia="Times New Roman" w:hAnsi="Calibri" w:cs="Times New Roman"/>
                <w:color w:val="000000"/>
                <w:sz w:val="16"/>
                <w:szCs w:val="16"/>
                <w:lang w:eastAsia="it-IT"/>
              </w:rPr>
              <w:t xml:space="preserve"> </w:t>
            </w:r>
            <w:proofErr w:type="spellStart"/>
            <w:r w:rsidRPr="003566D1">
              <w:rPr>
                <w:rFonts w:ascii="Calibri" w:eastAsia="Times New Roman" w:hAnsi="Calibri" w:cs="Times New Roman"/>
                <w:color w:val="000000"/>
                <w:sz w:val="16"/>
                <w:szCs w:val="16"/>
                <w:lang w:eastAsia="it-IT"/>
              </w:rPr>
              <w:t>Ambrois</w:t>
            </w:r>
            <w:proofErr w:type="spellEnd"/>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sz w:val="16"/>
                <w:szCs w:val="16"/>
                <w:lang w:eastAsia="it-IT"/>
              </w:rPr>
            </w:pPr>
            <w:r w:rsidRPr="003566D1">
              <w:rPr>
                <w:rFonts w:ascii="Calibri" w:eastAsia="Times New Roman" w:hAnsi="Calibri" w:cs="Times New Roman"/>
                <w:sz w:val="16"/>
                <w:szCs w:val="16"/>
                <w:lang w:eastAsia="it-IT"/>
              </w:rPr>
              <w:t>TOTF10000X</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Majorana</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sz w:val="16"/>
                <w:szCs w:val="16"/>
                <w:lang w:eastAsia="it-IT"/>
              </w:rPr>
            </w:pPr>
            <w:r w:rsidRPr="003566D1">
              <w:rPr>
                <w:rFonts w:ascii="Calibri" w:eastAsia="Times New Roman" w:hAnsi="Calibri" w:cs="Times New Roman"/>
                <w:sz w:val="16"/>
                <w:szCs w:val="16"/>
                <w:lang w:eastAsia="it-IT"/>
              </w:rPr>
              <w:t>TOTF04000D</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Pininfarina</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TOIS003003</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Majorana</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4E4E4E"/>
                <w:sz w:val="16"/>
                <w:szCs w:val="16"/>
                <w:lang w:eastAsia="it-IT"/>
              </w:rPr>
            </w:pPr>
            <w:r w:rsidRPr="003566D1">
              <w:rPr>
                <w:rFonts w:ascii="Calibri" w:eastAsia="Times New Roman" w:hAnsi="Calibri" w:cs="Times New Roman"/>
                <w:color w:val="4E4E4E"/>
                <w:sz w:val="16"/>
                <w:szCs w:val="16"/>
                <w:lang w:eastAsia="it-IT"/>
              </w:rPr>
              <w:t>TORI04000L</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Birago</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4E4E4E"/>
                <w:sz w:val="16"/>
                <w:szCs w:val="16"/>
                <w:lang w:eastAsia="it-IT"/>
              </w:rPr>
            </w:pPr>
            <w:r w:rsidRPr="003566D1">
              <w:rPr>
                <w:rFonts w:ascii="Calibri" w:eastAsia="Times New Roman" w:hAnsi="Calibri" w:cs="Times New Roman"/>
                <w:color w:val="4E4E4E"/>
                <w:sz w:val="16"/>
                <w:szCs w:val="16"/>
                <w:lang w:eastAsia="it-IT"/>
              </w:rPr>
              <w:t>TOPS04000B</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Ferraris</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4E4E4E"/>
                <w:sz w:val="16"/>
                <w:szCs w:val="16"/>
                <w:lang w:eastAsia="it-IT"/>
              </w:rPr>
            </w:pPr>
            <w:r w:rsidRPr="003566D1">
              <w:rPr>
                <w:rFonts w:ascii="Calibri" w:eastAsia="Times New Roman" w:hAnsi="Calibri" w:cs="Times New Roman"/>
                <w:color w:val="4E4E4E"/>
                <w:sz w:val="16"/>
                <w:szCs w:val="16"/>
                <w:lang w:eastAsia="it-IT"/>
              </w:rPr>
              <w:t>TOIS058007</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proofErr w:type="spellStart"/>
            <w:r w:rsidRPr="003566D1">
              <w:rPr>
                <w:rFonts w:ascii="Calibri" w:eastAsia="Times New Roman" w:hAnsi="Calibri" w:cs="Times New Roman"/>
                <w:color w:val="000000"/>
                <w:sz w:val="16"/>
                <w:szCs w:val="16"/>
                <w:lang w:eastAsia="it-IT"/>
              </w:rPr>
              <w:t>Santorre</w:t>
            </w:r>
            <w:proofErr w:type="spellEnd"/>
          </w:p>
        </w:tc>
      </w:tr>
      <w:tr w:rsidR="00781C26" w:rsidRPr="003566D1" w:rsidTr="00A81422">
        <w:trPr>
          <w:trHeight w:val="300"/>
        </w:trPr>
        <w:tc>
          <w:tcPr>
            <w:tcW w:w="860" w:type="pct"/>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nil"/>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4E4E4E"/>
                <w:sz w:val="16"/>
                <w:szCs w:val="16"/>
                <w:lang w:eastAsia="it-IT"/>
              </w:rPr>
            </w:pPr>
            <w:r w:rsidRPr="003566D1">
              <w:rPr>
                <w:rFonts w:ascii="Calibri" w:eastAsia="Times New Roman" w:hAnsi="Calibri" w:cs="Times New Roman"/>
                <w:color w:val="4E4E4E"/>
                <w:sz w:val="16"/>
                <w:szCs w:val="16"/>
                <w:lang w:eastAsia="it-IT"/>
              </w:rPr>
              <w:t>TOIS04100T</w:t>
            </w:r>
          </w:p>
        </w:tc>
        <w:tc>
          <w:tcPr>
            <w:tcW w:w="2169" w:type="pct"/>
            <w:tcBorders>
              <w:top w:val="nil"/>
              <w:left w:val="nil"/>
              <w:bottom w:val="nil"/>
              <w:right w:val="nil"/>
            </w:tcBorders>
            <w:shd w:val="clear" w:color="auto" w:fill="B6DDE8" w:themeFill="accent5" w:themeFillTint="66"/>
            <w:noWrap/>
            <w:vAlign w:val="bottom"/>
            <w:hideMark/>
          </w:tcPr>
          <w:p w:rsidR="00781C26" w:rsidRPr="003566D1" w:rsidRDefault="00A81422" w:rsidP="00781C26">
            <w:pPr>
              <w:spacing w:after="0" w:line="240" w:lineRule="auto"/>
              <w:rPr>
                <w:rFonts w:ascii="Calibri" w:eastAsia="Times New Roman" w:hAnsi="Calibri" w:cs="Times New Roman"/>
                <w:color w:val="4E4E4E"/>
                <w:sz w:val="16"/>
                <w:szCs w:val="16"/>
                <w:lang w:eastAsia="it-IT"/>
              </w:rPr>
            </w:pPr>
            <w:r w:rsidRPr="003566D1">
              <w:rPr>
                <w:rFonts w:ascii="Calibri" w:eastAsia="Times New Roman" w:hAnsi="Calibri" w:cs="Times New Roman"/>
                <w:color w:val="4E4E4E"/>
                <w:sz w:val="16"/>
                <w:szCs w:val="16"/>
                <w:lang w:eastAsia="it-IT"/>
              </w:rPr>
              <w:t>Maxwell</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single" w:sz="4" w:space="0" w:color="auto"/>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4E4E4E"/>
                <w:sz w:val="16"/>
                <w:szCs w:val="16"/>
                <w:lang w:eastAsia="it-IT"/>
              </w:rPr>
            </w:pPr>
            <w:r w:rsidRPr="003566D1">
              <w:rPr>
                <w:rFonts w:ascii="Calibri" w:eastAsia="Times New Roman" w:hAnsi="Calibri" w:cs="Times New Roman"/>
                <w:color w:val="4E4E4E"/>
                <w:sz w:val="16"/>
                <w:szCs w:val="16"/>
                <w:lang w:eastAsia="it-IT"/>
              </w:rPr>
              <w:t>TOIS02100L</w:t>
            </w:r>
          </w:p>
        </w:tc>
        <w:tc>
          <w:tcPr>
            <w:tcW w:w="2169" w:type="pct"/>
            <w:tcBorders>
              <w:top w:val="single" w:sz="4" w:space="0" w:color="auto"/>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4E4E4E"/>
                <w:sz w:val="16"/>
                <w:szCs w:val="16"/>
                <w:lang w:eastAsia="it-IT"/>
              </w:rPr>
            </w:pPr>
            <w:r w:rsidRPr="003566D1">
              <w:rPr>
                <w:rFonts w:ascii="Calibri" w:eastAsia="Times New Roman" w:hAnsi="Calibri" w:cs="Times New Roman"/>
                <w:color w:val="4E4E4E"/>
                <w:sz w:val="16"/>
                <w:szCs w:val="16"/>
                <w:lang w:eastAsia="it-IT"/>
              </w:rPr>
              <w:t xml:space="preserve">O. </w:t>
            </w:r>
            <w:r w:rsidR="00A81422" w:rsidRPr="003566D1">
              <w:rPr>
                <w:rFonts w:ascii="Calibri" w:eastAsia="Times New Roman" w:hAnsi="Calibri" w:cs="Times New Roman"/>
                <w:color w:val="4E4E4E"/>
                <w:sz w:val="16"/>
                <w:szCs w:val="16"/>
                <w:lang w:eastAsia="it-IT"/>
              </w:rPr>
              <w:t>Romero</w:t>
            </w:r>
          </w:p>
        </w:tc>
      </w:tr>
      <w:tr w:rsidR="00781C26" w:rsidRPr="003566D1" w:rsidTr="00A81422">
        <w:trPr>
          <w:trHeight w:val="300"/>
        </w:trPr>
        <w:tc>
          <w:tcPr>
            <w:tcW w:w="860" w:type="pct"/>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TOIS00700A</w:t>
            </w:r>
          </w:p>
        </w:tc>
        <w:tc>
          <w:tcPr>
            <w:tcW w:w="2169" w:type="pct"/>
            <w:tcBorders>
              <w:top w:val="nil"/>
              <w:left w:val="nil"/>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D</w:t>
            </w:r>
            <w:r w:rsidR="00A81422">
              <w:rPr>
                <w:rFonts w:ascii="Calibri" w:eastAsia="Times New Roman" w:hAnsi="Calibri" w:cs="Times New Roman"/>
                <w:color w:val="000000"/>
                <w:sz w:val="16"/>
                <w:szCs w:val="16"/>
                <w:lang w:eastAsia="it-IT"/>
              </w:rPr>
              <w:t>’ O</w:t>
            </w:r>
            <w:r w:rsidRPr="003566D1">
              <w:rPr>
                <w:rFonts w:ascii="Calibri" w:eastAsia="Times New Roman" w:hAnsi="Calibri" w:cs="Times New Roman"/>
                <w:color w:val="000000"/>
                <w:sz w:val="16"/>
                <w:szCs w:val="16"/>
                <w:lang w:eastAsia="it-IT"/>
              </w:rPr>
              <w:t>ria</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sz w:val="16"/>
                <w:szCs w:val="16"/>
                <w:lang w:eastAsia="it-IT"/>
              </w:rPr>
            </w:pPr>
            <w:r w:rsidRPr="003566D1">
              <w:rPr>
                <w:rFonts w:ascii="Calibri" w:eastAsia="Times New Roman" w:hAnsi="Calibri" w:cs="Times New Roman"/>
                <w:sz w:val="16"/>
                <w:szCs w:val="16"/>
                <w:lang w:eastAsia="it-IT"/>
              </w:rPr>
              <w:t>TO</w:t>
            </w:r>
          </w:p>
        </w:tc>
        <w:tc>
          <w:tcPr>
            <w:tcW w:w="1971" w:type="pct"/>
            <w:tcBorders>
              <w:top w:val="nil"/>
              <w:left w:val="nil"/>
              <w:bottom w:val="nil"/>
              <w:right w:val="nil"/>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sz w:val="16"/>
                <w:szCs w:val="16"/>
                <w:lang w:eastAsia="it-IT"/>
              </w:rPr>
            </w:pPr>
            <w:r w:rsidRPr="003566D1">
              <w:rPr>
                <w:rFonts w:ascii="Calibri" w:eastAsia="Times New Roman" w:hAnsi="Calibri" w:cs="Times New Roman"/>
                <w:sz w:val="16"/>
                <w:szCs w:val="16"/>
                <w:lang w:eastAsia="it-IT"/>
              </w:rPr>
              <w:t>TOVC01000Q</w:t>
            </w:r>
          </w:p>
        </w:tc>
        <w:tc>
          <w:tcPr>
            <w:tcW w:w="2169"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Umberto I</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single" w:sz="4" w:space="0" w:color="auto"/>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TOIS00400V</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Moro</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TOIS00600E</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proofErr w:type="spellStart"/>
            <w:r w:rsidRPr="003566D1">
              <w:rPr>
                <w:rFonts w:ascii="Calibri" w:eastAsia="Times New Roman" w:hAnsi="Calibri" w:cs="Times New Roman"/>
                <w:color w:val="000000"/>
                <w:sz w:val="16"/>
                <w:szCs w:val="16"/>
                <w:lang w:eastAsia="it-IT"/>
              </w:rPr>
              <w:t>Ubertini</w:t>
            </w:r>
            <w:proofErr w:type="spellEnd"/>
          </w:p>
        </w:tc>
      </w:tr>
      <w:tr w:rsidR="00781C26" w:rsidRPr="003566D1" w:rsidTr="00A81422">
        <w:trPr>
          <w:trHeight w:val="300"/>
        </w:trPr>
        <w:tc>
          <w:tcPr>
            <w:tcW w:w="860" w:type="pct"/>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B6DDE8" w:themeFill="accent5" w:themeFillTint="66"/>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TOIS008006</w:t>
            </w:r>
          </w:p>
        </w:tc>
        <w:tc>
          <w:tcPr>
            <w:tcW w:w="2169" w:type="pct"/>
            <w:tcBorders>
              <w:top w:val="nil"/>
              <w:left w:val="nil"/>
              <w:bottom w:val="single" w:sz="4" w:space="0" w:color="auto"/>
              <w:right w:val="single" w:sz="4" w:space="0" w:color="auto"/>
            </w:tcBorders>
            <w:shd w:val="clear" w:color="auto" w:fill="B6DDE8" w:themeFill="accent5" w:themeFillTint="66"/>
            <w:noWrap/>
            <w:vAlign w:val="bottom"/>
            <w:hideMark/>
          </w:tcPr>
          <w:p w:rsidR="00781C26" w:rsidRPr="003566D1" w:rsidRDefault="00A81422" w:rsidP="00781C26">
            <w:pPr>
              <w:spacing w:after="0" w:line="240" w:lineRule="auto"/>
              <w:rPr>
                <w:rFonts w:ascii="Calibri" w:eastAsia="Times New Roman" w:hAnsi="Calibri" w:cs="Times New Roman"/>
                <w:color w:val="000000"/>
                <w:sz w:val="16"/>
                <w:szCs w:val="16"/>
                <w:lang w:eastAsia="it-IT"/>
              </w:rPr>
            </w:pPr>
            <w:proofErr w:type="spellStart"/>
            <w:r>
              <w:rPr>
                <w:rFonts w:ascii="Calibri" w:eastAsia="Times New Roman" w:hAnsi="Calibri" w:cs="Times New Roman"/>
                <w:color w:val="000000"/>
                <w:sz w:val="16"/>
                <w:szCs w:val="16"/>
                <w:lang w:eastAsia="it-IT"/>
              </w:rPr>
              <w:t>Bal</w:t>
            </w:r>
            <w:r w:rsidR="00781C26" w:rsidRPr="003566D1">
              <w:rPr>
                <w:rFonts w:ascii="Calibri" w:eastAsia="Times New Roman" w:hAnsi="Calibri" w:cs="Times New Roman"/>
                <w:color w:val="000000"/>
                <w:sz w:val="16"/>
                <w:szCs w:val="16"/>
                <w:lang w:eastAsia="it-IT"/>
              </w:rPr>
              <w:t>dassano</w:t>
            </w:r>
            <w:proofErr w:type="spellEnd"/>
            <w:r w:rsidR="00781C26" w:rsidRPr="003566D1">
              <w:rPr>
                <w:rFonts w:ascii="Calibri" w:eastAsia="Times New Roman" w:hAnsi="Calibri" w:cs="Times New Roman"/>
                <w:color w:val="000000"/>
                <w:sz w:val="16"/>
                <w:szCs w:val="16"/>
                <w:lang w:eastAsia="it-IT"/>
              </w:rPr>
              <w:t xml:space="preserve"> Roccati</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TOIS01200T</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Olivetti</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TOIS091300N</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Bodoni Paravia</w:t>
            </w:r>
          </w:p>
        </w:tc>
      </w:tr>
      <w:tr w:rsidR="00781C26" w:rsidRPr="003566D1" w:rsidTr="00781C26">
        <w:trPr>
          <w:trHeight w:val="300"/>
        </w:trPr>
        <w:tc>
          <w:tcPr>
            <w:tcW w:w="860"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w:t>
            </w:r>
          </w:p>
        </w:tc>
        <w:tc>
          <w:tcPr>
            <w:tcW w:w="1971"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TOIS01400B</w:t>
            </w:r>
          </w:p>
        </w:tc>
        <w:tc>
          <w:tcPr>
            <w:tcW w:w="216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Porro</w:t>
            </w:r>
          </w:p>
        </w:tc>
      </w:tr>
    </w:tbl>
    <w:p w:rsidR="00781C26" w:rsidRDefault="00781C26" w:rsidP="00781C26"/>
    <w:tbl>
      <w:tblPr>
        <w:tblW w:w="5000" w:type="pct"/>
        <w:tblCellMar>
          <w:left w:w="70" w:type="dxa"/>
          <w:right w:w="70" w:type="dxa"/>
        </w:tblCellMar>
        <w:tblLook w:val="04A0" w:firstRow="1" w:lastRow="0" w:firstColumn="1" w:lastColumn="0" w:noHBand="0" w:noVBand="1"/>
      </w:tblPr>
      <w:tblGrid>
        <w:gridCol w:w="1631"/>
        <w:gridCol w:w="3968"/>
        <w:gridCol w:w="4179"/>
      </w:tblGrid>
      <w:tr w:rsidR="00781C26" w:rsidRPr="003566D1" w:rsidTr="00781C26">
        <w:trPr>
          <w:trHeight w:val="300"/>
        </w:trPr>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PROV</w:t>
            </w:r>
          </w:p>
        </w:tc>
        <w:tc>
          <w:tcPr>
            <w:tcW w:w="2029" w:type="pct"/>
            <w:tcBorders>
              <w:top w:val="single" w:sz="4" w:space="0" w:color="auto"/>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SCUOLA</w:t>
            </w:r>
          </w:p>
        </w:tc>
        <w:tc>
          <w:tcPr>
            <w:tcW w:w="2137" w:type="pct"/>
            <w:tcBorders>
              <w:top w:val="single" w:sz="4" w:space="0" w:color="auto"/>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 </w:t>
            </w:r>
          </w:p>
        </w:tc>
      </w:tr>
      <w:tr w:rsidR="00781C26" w:rsidRPr="003566D1" w:rsidTr="00781C26">
        <w:trPr>
          <w:trHeight w:val="300"/>
        </w:trPr>
        <w:tc>
          <w:tcPr>
            <w:tcW w:w="834"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VCO</w:t>
            </w:r>
          </w:p>
        </w:tc>
        <w:tc>
          <w:tcPr>
            <w:tcW w:w="202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VBEE00300D</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Domodossola 2</w:t>
            </w:r>
          </w:p>
        </w:tc>
      </w:tr>
      <w:tr w:rsidR="00781C26" w:rsidRPr="003566D1" w:rsidTr="00781C26">
        <w:trPr>
          <w:trHeight w:val="300"/>
        </w:trPr>
        <w:tc>
          <w:tcPr>
            <w:tcW w:w="834"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VCO</w:t>
            </w:r>
          </w:p>
        </w:tc>
        <w:tc>
          <w:tcPr>
            <w:tcW w:w="202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VBIC800300B</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Carmine</w:t>
            </w:r>
          </w:p>
        </w:tc>
      </w:tr>
      <w:tr w:rsidR="00781C26" w:rsidRPr="003566D1" w:rsidTr="00781C26">
        <w:trPr>
          <w:trHeight w:val="300"/>
        </w:trPr>
        <w:tc>
          <w:tcPr>
            <w:tcW w:w="834"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VCO</w:t>
            </w:r>
          </w:p>
        </w:tc>
        <w:tc>
          <w:tcPr>
            <w:tcW w:w="202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VBIC8005003</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Innocenzo IX</w:t>
            </w:r>
          </w:p>
        </w:tc>
      </w:tr>
      <w:tr w:rsidR="00781C26" w:rsidRPr="003566D1" w:rsidTr="00781C26">
        <w:trPr>
          <w:trHeight w:val="300"/>
        </w:trPr>
        <w:tc>
          <w:tcPr>
            <w:tcW w:w="834"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VCO</w:t>
            </w:r>
          </w:p>
        </w:tc>
        <w:tc>
          <w:tcPr>
            <w:tcW w:w="202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VBIC81500N</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Intra</w:t>
            </w:r>
          </w:p>
        </w:tc>
      </w:tr>
      <w:tr w:rsidR="00781C26" w:rsidRPr="003566D1" w:rsidTr="00781C26">
        <w:trPr>
          <w:trHeight w:val="300"/>
        </w:trPr>
        <w:tc>
          <w:tcPr>
            <w:tcW w:w="834"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VCO</w:t>
            </w:r>
          </w:p>
        </w:tc>
        <w:tc>
          <w:tcPr>
            <w:tcW w:w="202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VBIC80700P</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Piedimulera</w:t>
            </w:r>
          </w:p>
        </w:tc>
      </w:tr>
      <w:tr w:rsidR="00781C26" w:rsidRPr="003566D1" w:rsidTr="00781C26">
        <w:trPr>
          <w:trHeight w:val="300"/>
        </w:trPr>
        <w:tc>
          <w:tcPr>
            <w:tcW w:w="834"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VCO</w:t>
            </w:r>
          </w:p>
        </w:tc>
        <w:tc>
          <w:tcPr>
            <w:tcW w:w="202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VBIS00100X</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Gobetti</w:t>
            </w:r>
          </w:p>
        </w:tc>
      </w:tr>
      <w:tr w:rsidR="00781C26" w:rsidRPr="003566D1" w:rsidTr="00781C26">
        <w:trPr>
          <w:trHeight w:val="300"/>
        </w:trPr>
        <w:tc>
          <w:tcPr>
            <w:tcW w:w="834"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VCO</w:t>
            </w:r>
          </w:p>
        </w:tc>
        <w:tc>
          <w:tcPr>
            <w:tcW w:w="202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VBPS030009</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Spezia</w:t>
            </w:r>
          </w:p>
        </w:tc>
      </w:tr>
      <w:tr w:rsidR="00781C26" w:rsidRPr="003566D1" w:rsidTr="00781C26">
        <w:trPr>
          <w:trHeight w:val="300"/>
        </w:trPr>
        <w:tc>
          <w:tcPr>
            <w:tcW w:w="834"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PROV</w:t>
            </w:r>
          </w:p>
        </w:tc>
        <w:tc>
          <w:tcPr>
            <w:tcW w:w="202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SCUOLA</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 </w:t>
            </w:r>
          </w:p>
        </w:tc>
      </w:tr>
      <w:tr w:rsidR="00781C26" w:rsidRPr="003566D1" w:rsidTr="00781C26">
        <w:trPr>
          <w:trHeight w:val="300"/>
        </w:trPr>
        <w:tc>
          <w:tcPr>
            <w:tcW w:w="834"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VC</w:t>
            </w:r>
          </w:p>
        </w:tc>
        <w:tc>
          <w:tcPr>
            <w:tcW w:w="202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VCIC811001</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Lanino</w:t>
            </w:r>
          </w:p>
        </w:tc>
      </w:tr>
      <w:tr w:rsidR="00781C26" w:rsidRPr="003566D1" w:rsidTr="00781C26">
        <w:trPr>
          <w:trHeight w:val="300"/>
        </w:trPr>
        <w:tc>
          <w:tcPr>
            <w:tcW w:w="834"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VC</w:t>
            </w:r>
          </w:p>
        </w:tc>
        <w:tc>
          <w:tcPr>
            <w:tcW w:w="202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VCIC80000E</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Trino</w:t>
            </w:r>
          </w:p>
        </w:tc>
      </w:tr>
      <w:tr w:rsidR="00781C26" w:rsidRPr="003566D1" w:rsidTr="00781C26">
        <w:trPr>
          <w:trHeight w:val="300"/>
        </w:trPr>
        <w:tc>
          <w:tcPr>
            <w:tcW w:w="834"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VC</w:t>
            </w:r>
          </w:p>
        </w:tc>
        <w:tc>
          <w:tcPr>
            <w:tcW w:w="202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VCIC802006</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Arborio</w:t>
            </w:r>
          </w:p>
        </w:tc>
      </w:tr>
      <w:tr w:rsidR="00781C26" w:rsidRPr="003566D1" w:rsidTr="00781C26">
        <w:trPr>
          <w:trHeight w:val="300"/>
        </w:trPr>
        <w:tc>
          <w:tcPr>
            <w:tcW w:w="834"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lastRenderedPageBreak/>
              <w:t>VC</w:t>
            </w:r>
          </w:p>
        </w:tc>
        <w:tc>
          <w:tcPr>
            <w:tcW w:w="202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VCIS001100E</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proofErr w:type="spellStart"/>
            <w:r w:rsidRPr="003566D1">
              <w:rPr>
                <w:rFonts w:ascii="Calibri" w:eastAsia="Times New Roman" w:hAnsi="Calibri" w:cs="Times New Roman"/>
                <w:color w:val="000000"/>
                <w:sz w:val="16"/>
                <w:szCs w:val="16"/>
                <w:lang w:eastAsia="it-IT"/>
              </w:rPr>
              <w:t>Lagrangia</w:t>
            </w:r>
            <w:proofErr w:type="spellEnd"/>
          </w:p>
        </w:tc>
      </w:tr>
      <w:tr w:rsidR="00781C26" w:rsidRPr="003566D1" w:rsidTr="00781C26">
        <w:trPr>
          <w:trHeight w:val="300"/>
        </w:trPr>
        <w:tc>
          <w:tcPr>
            <w:tcW w:w="834" w:type="pct"/>
            <w:tcBorders>
              <w:top w:val="nil"/>
              <w:left w:val="single" w:sz="4" w:space="0" w:color="auto"/>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VC</w:t>
            </w:r>
          </w:p>
        </w:tc>
        <w:tc>
          <w:tcPr>
            <w:tcW w:w="2029"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r w:rsidRPr="003566D1">
              <w:rPr>
                <w:rFonts w:ascii="Calibri" w:eastAsia="Times New Roman" w:hAnsi="Calibri" w:cs="Times New Roman"/>
                <w:color w:val="000000"/>
                <w:sz w:val="16"/>
                <w:szCs w:val="16"/>
                <w:lang w:eastAsia="it-IT"/>
              </w:rPr>
              <w:t>VCIS00700D</w:t>
            </w:r>
          </w:p>
        </w:tc>
        <w:tc>
          <w:tcPr>
            <w:tcW w:w="2137" w:type="pct"/>
            <w:tcBorders>
              <w:top w:val="nil"/>
              <w:left w:val="nil"/>
              <w:bottom w:val="single" w:sz="4" w:space="0" w:color="auto"/>
              <w:right w:val="single" w:sz="4" w:space="0" w:color="auto"/>
            </w:tcBorders>
            <w:shd w:val="clear" w:color="auto" w:fill="auto"/>
            <w:noWrap/>
            <w:vAlign w:val="bottom"/>
            <w:hideMark/>
          </w:tcPr>
          <w:p w:rsidR="00781C26" w:rsidRPr="003566D1" w:rsidRDefault="00781C26" w:rsidP="00781C26">
            <w:pPr>
              <w:spacing w:after="0" w:line="240" w:lineRule="auto"/>
              <w:rPr>
                <w:rFonts w:ascii="Calibri" w:eastAsia="Times New Roman" w:hAnsi="Calibri" w:cs="Times New Roman"/>
                <w:color w:val="000000"/>
                <w:sz w:val="16"/>
                <w:szCs w:val="16"/>
                <w:lang w:eastAsia="it-IT"/>
              </w:rPr>
            </w:pPr>
            <w:proofErr w:type="spellStart"/>
            <w:r w:rsidRPr="003566D1">
              <w:rPr>
                <w:rFonts w:ascii="Calibri" w:eastAsia="Times New Roman" w:hAnsi="Calibri" w:cs="Times New Roman"/>
                <w:color w:val="000000"/>
                <w:sz w:val="16"/>
                <w:szCs w:val="16"/>
                <w:lang w:eastAsia="it-IT"/>
              </w:rPr>
              <w:t>Dadda</w:t>
            </w:r>
            <w:proofErr w:type="spellEnd"/>
          </w:p>
        </w:tc>
      </w:tr>
    </w:tbl>
    <w:p w:rsidR="00781C26" w:rsidRDefault="00781C26" w:rsidP="00781C26"/>
    <w:p w:rsidR="00781C26" w:rsidRDefault="00781C26" w:rsidP="00781C26"/>
    <w:p w:rsidR="00781C26" w:rsidRPr="00046BE3" w:rsidRDefault="00046BE3" w:rsidP="00781C26">
      <w:pPr>
        <w:rPr>
          <w:sz w:val="16"/>
          <w:szCs w:val="16"/>
        </w:rPr>
      </w:pPr>
      <w:r w:rsidRPr="00046BE3">
        <w:rPr>
          <w:sz w:val="16"/>
          <w:szCs w:val="16"/>
        </w:rPr>
        <w:t xml:space="preserve">Allegato 2 </w:t>
      </w:r>
    </w:p>
    <w:p w:rsidR="00046BE3" w:rsidRDefault="00046BE3" w:rsidP="00046BE3">
      <w:pPr>
        <w:pStyle w:val="Testonotaapidipagina"/>
        <w:rPr>
          <w:sz w:val="18"/>
          <w:szCs w:val="18"/>
        </w:rPr>
      </w:pPr>
      <w:r>
        <w:rPr>
          <w:sz w:val="18"/>
          <w:szCs w:val="18"/>
        </w:rPr>
        <w:t>La tavola che segue riporta alcuni punteg</w:t>
      </w:r>
      <w:r w:rsidR="00CC43E9">
        <w:rPr>
          <w:sz w:val="18"/>
          <w:szCs w:val="18"/>
        </w:rPr>
        <w:t>gi desunti dall’indagine INDIRE</w:t>
      </w:r>
      <w:r>
        <w:rPr>
          <w:sz w:val="18"/>
          <w:szCs w:val="18"/>
        </w:rPr>
        <w:t xml:space="preserve"> relativi alla Regione Piemonte</w:t>
      </w:r>
    </w:p>
    <w:p w:rsidR="00781C26" w:rsidRDefault="00781C26" w:rsidP="00781C26"/>
    <w:tbl>
      <w:tblPr>
        <w:tblStyle w:val="Grigliatabella"/>
        <w:tblpPr w:leftFromText="141" w:rightFromText="141" w:vertAnchor="text" w:horzAnchor="margin" w:tblpY="10"/>
        <w:tblW w:w="0" w:type="auto"/>
        <w:tblLook w:val="04A0" w:firstRow="1" w:lastRow="0" w:firstColumn="1" w:lastColumn="0" w:noHBand="0" w:noVBand="1"/>
      </w:tblPr>
      <w:tblGrid>
        <w:gridCol w:w="7479"/>
        <w:gridCol w:w="2299"/>
      </w:tblGrid>
      <w:tr w:rsidR="00046BE3" w:rsidRPr="000729CA" w:rsidTr="00046BE3">
        <w:tc>
          <w:tcPr>
            <w:tcW w:w="7479" w:type="dxa"/>
          </w:tcPr>
          <w:p w:rsidR="00046BE3" w:rsidRPr="000729CA" w:rsidRDefault="00046BE3" w:rsidP="00046BE3">
            <w:pPr>
              <w:rPr>
                <w:sz w:val="16"/>
                <w:szCs w:val="16"/>
              </w:rPr>
            </w:pPr>
            <w:r>
              <w:rPr>
                <w:sz w:val="16"/>
                <w:szCs w:val="16"/>
              </w:rPr>
              <w:t>Regione Piemonte</w:t>
            </w:r>
          </w:p>
        </w:tc>
        <w:tc>
          <w:tcPr>
            <w:tcW w:w="2299" w:type="dxa"/>
          </w:tcPr>
          <w:p w:rsidR="00046BE3" w:rsidRPr="000729CA" w:rsidRDefault="00046BE3" w:rsidP="00046BE3">
            <w:pPr>
              <w:rPr>
                <w:sz w:val="16"/>
                <w:szCs w:val="16"/>
              </w:rPr>
            </w:pPr>
            <w:r>
              <w:rPr>
                <w:sz w:val="16"/>
                <w:szCs w:val="16"/>
              </w:rPr>
              <w:t>Valori in %</w:t>
            </w:r>
          </w:p>
        </w:tc>
      </w:tr>
      <w:tr w:rsidR="00046BE3" w:rsidRPr="000729CA" w:rsidTr="00046BE3">
        <w:tc>
          <w:tcPr>
            <w:tcW w:w="7479" w:type="dxa"/>
          </w:tcPr>
          <w:p w:rsidR="00046BE3" w:rsidRPr="000729CA" w:rsidRDefault="00046BE3" w:rsidP="00046BE3">
            <w:pPr>
              <w:rPr>
                <w:sz w:val="16"/>
                <w:szCs w:val="16"/>
              </w:rPr>
            </w:pPr>
            <w:r w:rsidRPr="000729CA">
              <w:rPr>
                <w:sz w:val="16"/>
                <w:szCs w:val="16"/>
              </w:rPr>
              <w:t>Individuazione dei criteri per la valorizzazione dei docenti</w:t>
            </w:r>
          </w:p>
        </w:tc>
        <w:tc>
          <w:tcPr>
            <w:tcW w:w="2299" w:type="dxa"/>
          </w:tcPr>
          <w:p w:rsidR="00046BE3" w:rsidRPr="000729CA" w:rsidRDefault="00046BE3" w:rsidP="00046BE3">
            <w:pPr>
              <w:rPr>
                <w:sz w:val="16"/>
                <w:szCs w:val="16"/>
              </w:rPr>
            </w:pPr>
            <w:r w:rsidRPr="000729CA">
              <w:rPr>
                <w:sz w:val="16"/>
                <w:szCs w:val="16"/>
              </w:rPr>
              <w:t>72,7</w:t>
            </w:r>
          </w:p>
        </w:tc>
      </w:tr>
      <w:tr w:rsidR="00046BE3" w:rsidRPr="000729CA" w:rsidTr="00046BE3">
        <w:tc>
          <w:tcPr>
            <w:tcW w:w="7479" w:type="dxa"/>
          </w:tcPr>
          <w:p w:rsidR="00046BE3" w:rsidRPr="000729CA" w:rsidRDefault="00046BE3" w:rsidP="00046BE3">
            <w:pPr>
              <w:rPr>
                <w:sz w:val="16"/>
                <w:szCs w:val="16"/>
              </w:rPr>
            </w:pPr>
            <w:r w:rsidRPr="000729CA">
              <w:rPr>
                <w:sz w:val="16"/>
                <w:szCs w:val="16"/>
              </w:rPr>
              <w:t>Il Comitato ha assegnato pesi diversi ai criteri</w:t>
            </w:r>
          </w:p>
        </w:tc>
        <w:tc>
          <w:tcPr>
            <w:tcW w:w="2299" w:type="dxa"/>
          </w:tcPr>
          <w:p w:rsidR="00046BE3" w:rsidRPr="000729CA" w:rsidRDefault="00046BE3" w:rsidP="00046BE3">
            <w:pPr>
              <w:rPr>
                <w:sz w:val="16"/>
                <w:szCs w:val="16"/>
              </w:rPr>
            </w:pPr>
            <w:r w:rsidRPr="000729CA">
              <w:rPr>
                <w:sz w:val="16"/>
                <w:szCs w:val="16"/>
              </w:rPr>
              <w:t>68,5</w:t>
            </w:r>
          </w:p>
        </w:tc>
      </w:tr>
      <w:tr w:rsidR="00046BE3" w:rsidRPr="000729CA" w:rsidTr="00046BE3">
        <w:tc>
          <w:tcPr>
            <w:tcW w:w="7479" w:type="dxa"/>
          </w:tcPr>
          <w:p w:rsidR="00046BE3" w:rsidRPr="000729CA" w:rsidRDefault="00046BE3" w:rsidP="00046BE3">
            <w:pPr>
              <w:rPr>
                <w:sz w:val="16"/>
                <w:szCs w:val="16"/>
              </w:rPr>
            </w:pPr>
            <w:r w:rsidRPr="000729CA">
              <w:rPr>
                <w:sz w:val="16"/>
                <w:szCs w:val="16"/>
              </w:rPr>
              <w:t xml:space="preserve">Scelte adottate dal Comitato </w:t>
            </w:r>
            <w:r w:rsidRPr="000729CA">
              <w:rPr>
                <w:sz w:val="16"/>
                <w:szCs w:val="16"/>
              </w:rPr>
              <w:br/>
            </w:r>
            <w:r w:rsidRPr="000729CA">
              <w:rPr>
                <w:i/>
                <w:iCs/>
                <w:sz w:val="16"/>
                <w:szCs w:val="16"/>
              </w:rPr>
              <w:t xml:space="preserve">a maggioranza </w:t>
            </w:r>
            <w:r w:rsidRPr="000729CA">
              <w:rPr>
                <w:sz w:val="16"/>
                <w:szCs w:val="16"/>
              </w:rPr>
              <w:t xml:space="preserve">o </w:t>
            </w:r>
            <w:r w:rsidRPr="000729CA">
              <w:rPr>
                <w:i/>
                <w:iCs/>
                <w:sz w:val="16"/>
                <w:szCs w:val="16"/>
              </w:rPr>
              <w:t>all’unanimità</w:t>
            </w:r>
          </w:p>
        </w:tc>
        <w:tc>
          <w:tcPr>
            <w:tcW w:w="2299" w:type="dxa"/>
          </w:tcPr>
          <w:p w:rsidR="00046BE3" w:rsidRPr="000729CA" w:rsidRDefault="00046BE3" w:rsidP="00046BE3">
            <w:pPr>
              <w:rPr>
                <w:sz w:val="16"/>
                <w:szCs w:val="16"/>
              </w:rPr>
            </w:pPr>
            <w:r w:rsidRPr="000729CA">
              <w:rPr>
                <w:sz w:val="16"/>
                <w:szCs w:val="16"/>
              </w:rPr>
              <w:t>A maggioranza 6</w:t>
            </w:r>
          </w:p>
          <w:p w:rsidR="00046BE3" w:rsidRPr="000729CA" w:rsidRDefault="00046BE3" w:rsidP="00046BE3">
            <w:pPr>
              <w:rPr>
                <w:sz w:val="16"/>
                <w:szCs w:val="16"/>
              </w:rPr>
            </w:pPr>
            <w:r w:rsidRPr="000729CA">
              <w:rPr>
                <w:sz w:val="16"/>
                <w:szCs w:val="16"/>
              </w:rPr>
              <w:t>All’unanimità 94</w:t>
            </w:r>
          </w:p>
        </w:tc>
      </w:tr>
      <w:tr w:rsidR="00046BE3" w:rsidRPr="000729CA" w:rsidTr="00046BE3">
        <w:tc>
          <w:tcPr>
            <w:tcW w:w="7479" w:type="dxa"/>
          </w:tcPr>
          <w:p w:rsidR="00046BE3" w:rsidRPr="000729CA" w:rsidRDefault="00046BE3" w:rsidP="00046BE3">
            <w:pPr>
              <w:rPr>
                <w:sz w:val="16"/>
                <w:szCs w:val="16"/>
              </w:rPr>
            </w:pPr>
            <w:r w:rsidRPr="000729CA">
              <w:rPr>
                <w:sz w:val="16"/>
                <w:szCs w:val="16"/>
              </w:rPr>
              <w:t xml:space="preserve">Il Comitato ha </w:t>
            </w:r>
            <w:r>
              <w:rPr>
                <w:sz w:val="16"/>
                <w:szCs w:val="16"/>
              </w:rPr>
              <w:t xml:space="preserve">reso pubblici i criteri per la  </w:t>
            </w:r>
            <w:r w:rsidRPr="000729CA">
              <w:rPr>
                <w:sz w:val="16"/>
                <w:szCs w:val="16"/>
              </w:rPr>
              <w:t>valorizzazione del merito</w:t>
            </w:r>
          </w:p>
        </w:tc>
        <w:tc>
          <w:tcPr>
            <w:tcW w:w="2299" w:type="dxa"/>
          </w:tcPr>
          <w:p w:rsidR="00046BE3" w:rsidRPr="000729CA" w:rsidRDefault="00046BE3" w:rsidP="00046BE3">
            <w:pPr>
              <w:rPr>
                <w:sz w:val="16"/>
                <w:szCs w:val="16"/>
              </w:rPr>
            </w:pPr>
            <w:r w:rsidRPr="000729CA">
              <w:rPr>
                <w:sz w:val="16"/>
                <w:szCs w:val="16"/>
              </w:rPr>
              <w:t>97,6</w:t>
            </w:r>
          </w:p>
        </w:tc>
      </w:tr>
    </w:tbl>
    <w:p w:rsidR="00781C26" w:rsidRDefault="00781C26" w:rsidP="00781C26"/>
    <w:p w:rsidR="00781C26" w:rsidRPr="009B283D" w:rsidRDefault="0013195C" w:rsidP="009B283D">
      <w:pPr>
        <w:jc w:val="both"/>
      </w:pPr>
      <w:r>
        <w:t>.</w:t>
      </w:r>
    </w:p>
    <w:sectPr w:rsidR="00781C26" w:rsidRPr="009B283D" w:rsidSect="00FB763E">
      <w:headerReference w:type="default" r:id="rId31"/>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822" w:rsidRDefault="008B2822" w:rsidP="00E12CAC">
      <w:pPr>
        <w:spacing w:after="0" w:line="240" w:lineRule="auto"/>
      </w:pPr>
      <w:r>
        <w:separator/>
      </w:r>
    </w:p>
  </w:endnote>
  <w:endnote w:type="continuationSeparator" w:id="0">
    <w:p w:rsidR="008B2822" w:rsidRDefault="008B2822" w:rsidP="00E1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822" w:rsidRDefault="008B2822" w:rsidP="00E12CAC">
      <w:pPr>
        <w:spacing w:after="0" w:line="240" w:lineRule="auto"/>
      </w:pPr>
      <w:r>
        <w:separator/>
      </w:r>
    </w:p>
  </w:footnote>
  <w:footnote w:type="continuationSeparator" w:id="0">
    <w:p w:rsidR="008B2822" w:rsidRDefault="008B2822" w:rsidP="00E12CAC">
      <w:pPr>
        <w:spacing w:after="0" w:line="240" w:lineRule="auto"/>
      </w:pPr>
      <w:r>
        <w:continuationSeparator/>
      </w:r>
    </w:p>
  </w:footnote>
  <w:footnote w:id="1">
    <w:p w:rsidR="00985AA6" w:rsidRDefault="00985AA6">
      <w:pPr>
        <w:pStyle w:val="Testonotaapidipagina"/>
        <w:rPr>
          <w:sz w:val="18"/>
          <w:szCs w:val="18"/>
        </w:rPr>
      </w:pPr>
      <w:r>
        <w:rPr>
          <w:rStyle w:val="Rimandonotaapidipagina"/>
        </w:rPr>
        <w:footnoteRef/>
      </w:r>
      <w:r>
        <w:t xml:space="preserve"> </w:t>
      </w:r>
      <w:hyperlink r:id="rId1" w:history="1">
        <w:r w:rsidRPr="00015E8B">
          <w:rPr>
            <w:rStyle w:val="Collegamentoipertestuale"/>
            <w:sz w:val="18"/>
            <w:szCs w:val="18"/>
          </w:rPr>
          <w:t>http://www.indire.it/2016/10/19/bonus-per-la-valorizzazione-dei-docenti-documentare-le-buone-pratiche/</w:t>
        </w:r>
      </w:hyperlink>
    </w:p>
    <w:p w:rsidR="00985AA6" w:rsidRDefault="00985AA6">
      <w:pPr>
        <w:pStyle w:val="Testonotaapidipagina"/>
        <w:rPr>
          <w:sz w:val="18"/>
          <w:szCs w:val="18"/>
        </w:rPr>
      </w:pPr>
      <w:r>
        <w:rPr>
          <w:sz w:val="18"/>
          <w:szCs w:val="18"/>
        </w:rPr>
        <w:t>In allegato 2 sintesi di alcuni dati relativi alla Regione Piemonte emersi dal monitoraggio INDIRE</w:t>
      </w:r>
    </w:p>
    <w:p w:rsidR="00985AA6" w:rsidRDefault="00985AA6">
      <w:pPr>
        <w:pStyle w:val="Testonotaapidipagina"/>
        <w:rPr>
          <w:sz w:val="18"/>
          <w:szCs w:val="18"/>
        </w:rPr>
      </w:pPr>
      <w:r>
        <w:rPr>
          <w:sz w:val="18"/>
          <w:szCs w:val="18"/>
        </w:rPr>
        <w:t>La tavola che segue riporta alcuni punteggi relativi all’indagine INVALSI relativi alla Regione Piemonte</w:t>
      </w:r>
    </w:p>
    <w:tbl>
      <w:tblPr>
        <w:tblStyle w:val="Grigliatabella"/>
        <w:tblW w:w="0" w:type="auto"/>
        <w:tblLook w:val="04A0" w:firstRow="1" w:lastRow="0" w:firstColumn="1" w:lastColumn="0" w:noHBand="0" w:noVBand="1"/>
      </w:tblPr>
      <w:tblGrid>
        <w:gridCol w:w="7479"/>
        <w:gridCol w:w="2299"/>
      </w:tblGrid>
      <w:tr w:rsidR="00985AA6" w:rsidRPr="000729CA" w:rsidTr="00985AA6">
        <w:tc>
          <w:tcPr>
            <w:tcW w:w="7479" w:type="dxa"/>
          </w:tcPr>
          <w:p w:rsidR="00985AA6" w:rsidRPr="000729CA" w:rsidRDefault="00985AA6" w:rsidP="00985AA6">
            <w:pPr>
              <w:rPr>
                <w:sz w:val="16"/>
                <w:szCs w:val="16"/>
              </w:rPr>
            </w:pPr>
            <w:r>
              <w:rPr>
                <w:sz w:val="16"/>
                <w:szCs w:val="16"/>
              </w:rPr>
              <w:t>Regione Piemonte</w:t>
            </w:r>
          </w:p>
        </w:tc>
        <w:tc>
          <w:tcPr>
            <w:tcW w:w="2299" w:type="dxa"/>
          </w:tcPr>
          <w:p w:rsidR="00985AA6" w:rsidRPr="000729CA" w:rsidRDefault="00985AA6" w:rsidP="00985AA6">
            <w:pPr>
              <w:rPr>
                <w:sz w:val="16"/>
                <w:szCs w:val="16"/>
              </w:rPr>
            </w:pPr>
            <w:r>
              <w:rPr>
                <w:sz w:val="16"/>
                <w:szCs w:val="16"/>
              </w:rPr>
              <w:t>Valori in %</w:t>
            </w:r>
          </w:p>
        </w:tc>
      </w:tr>
      <w:tr w:rsidR="00985AA6" w:rsidRPr="000729CA" w:rsidTr="00985AA6">
        <w:tc>
          <w:tcPr>
            <w:tcW w:w="7479" w:type="dxa"/>
          </w:tcPr>
          <w:p w:rsidR="00985AA6" w:rsidRPr="000729CA" w:rsidRDefault="00985AA6" w:rsidP="00985AA6">
            <w:pPr>
              <w:rPr>
                <w:sz w:val="16"/>
                <w:szCs w:val="16"/>
              </w:rPr>
            </w:pPr>
            <w:r w:rsidRPr="000729CA">
              <w:rPr>
                <w:sz w:val="16"/>
                <w:szCs w:val="16"/>
              </w:rPr>
              <w:t>Individuazione dei criteri per la valorizzazione dei docenti</w:t>
            </w:r>
          </w:p>
        </w:tc>
        <w:tc>
          <w:tcPr>
            <w:tcW w:w="2299" w:type="dxa"/>
          </w:tcPr>
          <w:p w:rsidR="00985AA6" w:rsidRPr="000729CA" w:rsidRDefault="00985AA6" w:rsidP="00985AA6">
            <w:pPr>
              <w:rPr>
                <w:sz w:val="16"/>
                <w:szCs w:val="16"/>
              </w:rPr>
            </w:pPr>
            <w:r w:rsidRPr="000729CA">
              <w:rPr>
                <w:sz w:val="16"/>
                <w:szCs w:val="16"/>
              </w:rPr>
              <w:t>72,7</w:t>
            </w:r>
          </w:p>
        </w:tc>
      </w:tr>
      <w:tr w:rsidR="00985AA6" w:rsidRPr="000729CA" w:rsidTr="00985AA6">
        <w:tc>
          <w:tcPr>
            <w:tcW w:w="7479" w:type="dxa"/>
          </w:tcPr>
          <w:p w:rsidR="00985AA6" w:rsidRPr="000729CA" w:rsidRDefault="00985AA6" w:rsidP="00985AA6">
            <w:pPr>
              <w:rPr>
                <w:sz w:val="16"/>
                <w:szCs w:val="16"/>
              </w:rPr>
            </w:pPr>
            <w:r w:rsidRPr="000729CA">
              <w:rPr>
                <w:sz w:val="16"/>
                <w:szCs w:val="16"/>
              </w:rPr>
              <w:t>Il Comitato ha assegnato pesi diversi ai criteri</w:t>
            </w:r>
          </w:p>
        </w:tc>
        <w:tc>
          <w:tcPr>
            <w:tcW w:w="2299" w:type="dxa"/>
          </w:tcPr>
          <w:p w:rsidR="00985AA6" w:rsidRPr="000729CA" w:rsidRDefault="00985AA6" w:rsidP="00985AA6">
            <w:pPr>
              <w:rPr>
                <w:sz w:val="16"/>
                <w:szCs w:val="16"/>
              </w:rPr>
            </w:pPr>
            <w:r w:rsidRPr="000729CA">
              <w:rPr>
                <w:sz w:val="16"/>
                <w:szCs w:val="16"/>
              </w:rPr>
              <w:t>68,5</w:t>
            </w:r>
          </w:p>
        </w:tc>
      </w:tr>
      <w:tr w:rsidR="00985AA6" w:rsidRPr="000729CA" w:rsidTr="00985AA6">
        <w:tc>
          <w:tcPr>
            <w:tcW w:w="7479" w:type="dxa"/>
          </w:tcPr>
          <w:p w:rsidR="00985AA6" w:rsidRPr="000729CA" w:rsidRDefault="00985AA6" w:rsidP="00985AA6">
            <w:pPr>
              <w:rPr>
                <w:sz w:val="16"/>
                <w:szCs w:val="16"/>
              </w:rPr>
            </w:pPr>
            <w:r w:rsidRPr="000729CA">
              <w:rPr>
                <w:sz w:val="16"/>
                <w:szCs w:val="16"/>
              </w:rPr>
              <w:t xml:space="preserve">Scelte adottate dal Comitato </w:t>
            </w:r>
            <w:r w:rsidRPr="000729CA">
              <w:rPr>
                <w:sz w:val="16"/>
                <w:szCs w:val="16"/>
              </w:rPr>
              <w:br/>
            </w:r>
            <w:r w:rsidRPr="000729CA">
              <w:rPr>
                <w:i/>
                <w:iCs/>
                <w:sz w:val="16"/>
                <w:szCs w:val="16"/>
              </w:rPr>
              <w:t xml:space="preserve">a maggioranza </w:t>
            </w:r>
            <w:r w:rsidRPr="000729CA">
              <w:rPr>
                <w:sz w:val="16"/>
                <w:szCs w:val="16"/>
              </w:rPr>
              <w:t xml:space="preserve">o </w:t>
            </w:r>
            <w:r w:rsidRPr="000729CA">
              <w:rPr>
                <w:i/>
                <w:iCs/>
                <w:sz w:val="16"/>
                <w:szCs w:val="16"/>
              </w:rPr>
              <w:t>all’unanimità</w:t>
            </w:r>
          </w:p>
        </w:tc>
        <w:tc>
          <w:tcPr>
            <w:tcW w:w="2299" w:type="dxa"/>
          </w:tcPr>
          <w:p w:rsidR="00985AA6" w:rsidRPr="000729CA" w:rsidRDefault="00985AA6" w:rsidP="00985AA6">
            <w:pPr>
              <w:rPr>
                <w:sz w:val="16"/>
                <w:szCs w:val="16"/>
              </w:rPr>
            </w:pPr>
            <w:r w:rsidRPr="000729CA">
              <w:rPr>
                <w:sz w:val="16"/>
                <w:szCs w:val="16"/>
              </w:rPr>
              <w:t>A maggioranza 6</w:t>
            </w:r>
          </w:p>
          <w:p w:rsidR="00985AA6" w:rsidRPr="000729CA" w:rsidRDefault="00985AA6" w:rsidP="00985AA6">
            <w:pPr>
              <w:rPr>
                <w:sz w:val="16"/>
                <w:szCs w:val="16"/>
              </w:rPr>
            </w:pPr>
            <w:r w:rsidRPr="000729CA">
              <w:rPr>
                <w:sz w:val="16"/>
                <w:szCs w:val="16"/>
              </w:rPr>
              <w:t>All’unanimità 94</w:t>
            </w:r>
          </w:p>
        </w:tc>
      </w:tr>
      <w:tr w:rsidR="00985AA6" w:rsidRPr="000729CA" w:rsidTr="00985AA6">
        <w:tc>
          <w:tcPr>
            <w:tcW w:w="7479" w:type="dxa"/>
          </w:tcPr>
          <w:p w:rsidR="00985AA6" w:rsidRPr="000729CA" w:rsidRDefault="00985AA6" w:rsidP="00985AA6">
            <w:pPr>
              <w:rPr>
                <w:sz w:val="16"/>
                <w:szCs w:val="16"/>
              </w:rPr>
            </w:pPr>
            <w:r w:rsidRPr="000729CA">
              <w:rPr>
                <w:sz w:val="16"/>
                <w:szCs w:val="16"/>
              </w:rPr>
              <w:t xml:space="preserve">Il Comitato ha </w:t>
            </w:r>
            <w:r>
              <w:rPr>
                <w:sz w:val="16"/>
                <w:szCs w:val="16"/>
              </w:rPr>
              <w:t xml:space="preserve">reso pubblici i criteri per la  </w:t>
            </w:r>
            <w:r w:rsidRPr="000729CA">
              <w:rPr>
                <w:sz w:val="16"/>
                <w:szCs w:val="16"/>
              </w:rPr>
              <w:t>valorizzazione del merito</w:t>
            </w:r>
          </w:p>
        </w:tc>
        <w:tc>
          <w:tcPr>
            <w:tcW w:w="2299" w:type="dxa"/>
          </w:tcPr>
          <w:p w:rsidR="00985AA6" w:rsidRPr="000729CA" w:rsidRDefault="00985AA6" w:rsidP="00985AA6">
            <w:pPr>
              <w:rPr>
                <w:sz w:val="16"/>
                <w:szCs w:val="16"/>
              </w:rPr>
            </w:pPr>
            <w:r w:rsidRPr="000729CA">
              <w:rPr>
                <w:sz w:val="16"/>
                <w:szCs w:val="16"/>
              </w:rPr>
              <w:t>97,6</w:t>
            </w:r>
          </w:p>
        </w:tc>
      </w:tr>
    </w:tbl>
    <w:p w:rsidR="00985AA6" w:rsidRPr="00541B00" w:rsidRDefault="00985AA6">
      <w:pPr>
        <w:pStyle w:val="Testonotaapidipagina"/>
        <w:rPr>
          <w:sz w:val="18"/>
          <w:szCs w:val="18"/>
        </w:rPr>
      </w:pPr>
    </w:p>
  </w:footnote>
  <w:footnote w:id="2">
    <w:p w:rsidR="00985AA6" w:rsidRPr="00256786" w:rsidRDefault="00985AA6" w:rsidP="00673612">
      <w:pPr>
        <w:pStyle w:val="Testonotaapidipagina"/>
        <w:rPr>
          <w:sz w:val="18"/>
          <w:szCs w:val="18"/>
        </w:rPr>
      </w:pPr>
      <w:r>
        <w:rPr>
          <w:rStyle w:val="Rimandonotaapidipagina"/>
        </w:rPr>
        <w:footnoteRef/>
      </w:r>
      <w:r>
        <w:t xml:space="preserve"> </w:t>
      </w:r>
      <w:r w:rsidRPr="00256786">
        <w:rPr>
          <w:sz w:val="18"/>
          <w:szCs w:val="18"/>
        </w:rPr>
        <w:t>Elenco scuole campionate in allegato 1</w:t>
      </w:r>
    </w:p>
  </w:footnote>
  <w:footnote w:id="3">
    <w:p w:rsidR="00985AA6" w:rsidRDefault="00985AA6" w:rsidP="005875DC">
      <w:pPr>
        <w:rPr>
          <w:sz w:val="18"/>
          <w:szCs w:val="18"/>
        </w:rPr>
      </w:pPr>
      <w:r w:rsidRPr="005875DC">
        <w:rPr>
          <w:rStyle w:val="Rimandonotaapidipagina"/>
          <w:sz w:val="18"/>
          <w:szCs w:val="18"/>
        </w:rPr>
        <w:footnoteRef/>
      </w:r>
      <w:r w:rsidRPr="005875DC">
        <w:rPr>
          <w:sz w:val="18"/>
          <w:szCs w:val="18"/>
        </w:rPr>
        <w:t xml:space="preserve"> </w:t>
      </w:r>
      <w:hyperlink r:id="rId2" w:history="1">
        <w:r w:rsidRPr="00AF4CD9">
          <w:rPr>
            <w:rStyle w:val="Collegamentoipertestuale"/>
            <w:sz w:val="18"/>
            <w:szCs w:val="18"/>
          </w:rPr>
          <w:t>http://www.istruzione.it/snv/index.shtml</w:t>
        </w:r>
      </w:hyperlink>
    </w:p>
    <w:p w:rsidR="00985AA6" w:rsidRPr="005875DC" w:rsidRDefault="00985AA6" w:rsidP="005875DC">
      <w:pPr>
        <w:rPr>
          <w:sz w:val="18"/>
          <w:szCs w:val="18"/>
        </w:rPr>
      </w:pPr>
    </w:p>
    <w:p w:rsidR="00985AA6" w:rsidRDefault="00985AA6">
      <w:pPr>
        <w:pStyle w:val="Testonotaapidipagina"/>
      </w:pPr>
    </w:p>
  </w:footnote>
  <w:footnote w:id="4">
    <w:p w:rsidR="00985AA6" w:rsidRPr="004E23CC" w:rsidRDefault="00985AA6">
      <w:pPr>
        <w:pStyle w:val="Testonotaapidipagina"/>
        <w:rPr>
          <w:sz w:val="18"/>
          <w:szCs w:val="18"/>
        </w:rPr>
      </w:pPr>
      <w:r>
        <w:rPr>
          <w:rStyle w:val="Rimandonotaapidipagina"/>
        </w:rPr>
        <w:footnoteRef/>
      </w:r>
      <w:r>
        <w:t xml:space="preserve"> </w:t>
      </w:r>
      <w:r w:rsidRPr="004E23CC">
        <w:rPr>
          <w:sz w:val="18"/>
          <w:szCs w:val="18"/>
        </w:rPr>
        <w:t xml:space="preserve">Si precisa che i non rispondenti – n. 18 pari al 14,8% -  d’ora innanzi non verranno conteggiati nel totale assoluto del campione che diventa n. 104 [= 122 -18] </w:t>
      </w:r>
    </w:p>
    <w:p w:rsidR="00985AA6" w:rsidRPr="004E23CC" w:rsidRDefault="00985AA6" w:rsidP="00641315">
      <w:pPr>
        <w:pStyle w:val="Testonotaapidipagina"/>
        <w:jc w:val="center"/>
        <w:rPr>
          <w:sz w:val="18"/>
          <w:szCs w:val="18"/>
        </w:rPr>
      </w:pPr>
      <w:r w:rsidRPr="004E23CC">
        <w:rPr>
          <w:sz w:val="18"/>
          <w:szCs w:val="18"/>
        </w:rPr>
        <w:t>TAV. A campione al netto dei non rispondenti</w:t>
      </w:r>
    </w:p>
    <w:tbl>
      <w:tblPr>
        <w:tblStyle w:val="Grigliatabella"/>
        <w:tblW w:w="0" w:type="auto"/>
        <w:jc w:val="center"/>
        <w:tblLook w:val="04A0" w:firstRow="1" w:lastRow="0" w:firstColumn="1" w:lastColumn="0" w:noHBand="0" w:noVBand="1"/>
      </w:tblPr>
      <w:tblGrid>
        <w:gridCol w:w="3259"/>
        <w:gridCol w:w="3259"/>
        <w:gridCol w:w="3260"/>
      </w:tblGrid>
      <w:tr w:rsidR="00985AA6" w:rsidRPr="004E23CC" w:rsidTr="00641315">
        <w:trPr>
          <w:jc w:val="center"/>
        </w:trPr>
        <w:tc>
          <w:tcPr>
            <w:tcW w:w="3259" w:type="dxa"/>
          </w:tcPr>
          <w:p w:rsidR="00985AA6" w:rsidRPr="004E23CC" w:rsidRDefault="00985AA6" w:rsidP="00641315">
            <w:pPr>
              <w:pStyle w:val="Testonotaapidipagina"/>
              <w:jc w:val="center"/>
              <w:rPr>
                <w:sz w:val="18"/>
                <w:szCs w:val="18"/>
              </w:rPr>
            </w:pPr>
            <w:r w:rsidRPr="004E23CC">
              <w:rPr>
                <w:sz w:val="18"/>
                <w:szCs w:val="18"/>
              </w:rPr>
              <w:t>Globale</w:t>
            </w:r>
          </w:p>
        </w:tc>
        <w:tc>
          <w:tcPr>
            <w:tcW w:w="3259" w:type="dxa"/>
          </w:tcPr>
          <w:p w:rsidR="00985AA6" w:rsidRPr="004E23CC" w:rsidRDefault="00985AA6" w:rsidP="00641315">
            <w:pPr>
              <w:pStyle w:val="Testonotaapidipagina"/>
              <w:jc w:val="center"/>
              <w:rPr>
                <w:sz w:val="18"/>
                <w:szCs w:val="18"/>
              </w:rPr>
            </w:pPr>
            <w:r w:rsidRPr="004E23CC">
              <w:rPr>
                <w:sz w:val="18"/>
                <w:szCs w:val="18"/>
              </w:rPr>
              <w:t>I ciclo</w:t>
            </w:r>
          </w:p>
        </w:tc>
        <w:tc>
          <w:tcPr>
            <w:tcW w:w="3260" w:type="dxa"/>
          </w:tcPr>
          <w:p w:rsidR="00985AA6" w:rsidRPr="004E23CC" w:rsidRDefault="00985AA6" w:rsidP="00641315">
            <w:pPr>
              <w:pStyle w:val="Testonotaapidipagina"/>
              <w:jc w:val="center"/>
              <w:rPr>
                <w:sz w:val="18"/>
                <w:szCs w:val="18"/>
              </w:rPr>
            </w:pPr>
            <w:r w:rsidRPr="004E23CC">
              <w:rPr>
                <w:sz w:val="18"/>
                <w:szCs w:val="18"/>
              </w:rPr>
              <w:t>II ciclo</w:t>
            </w:r>
          </w:p>
        </w:tc>
      </w:tr>
      <w:tr w:rsidR="00985AA6" w:rsidRPr="004E23CC" w:rsidTr="00641315">
        <w:trPr>
          <w:jc w:val="center"/>
        </w:trPr>
        <w:tc>
          <w:tcPr>
            <w:tcW w:w="3259" w:type="dxa"/>
          </w:tcPr>
          <w:p w:rsidR="00985AA6" w:rsidRPr="004E23CC" w:rsidRDefault="00985AA6" w:rsidP="00641315">
            <w:pPr>
              <w:pStyle w:val="Testonotaapidipagina"/>
              <w:jc w:val="center"/>
              <w:rPr>
                <w:sz w:val="18"/>
                <w:szCs w:val="18"/>
              </w:rPr>
            </w:pPr>
            <w:r w:rsidRPr="004E23CC">
              <w:rPr>
                <w:sz w:val="18"/>
                <w:szCs w:val="18"/>
              </w:rPr>
              <w:t>104</w:t>
            </w:r>
          </w:p>
        </w:tc>
        <w:tc>
          <w:tcPr>
            <w:tcW w:w="3259" w:type="dxa"/>
          </w:tcPr>
          <w:p w:rsidR="00985AA6" w:rsidRPr="004E23CC" w:rsidRDefault="00985AA6" w:rsidP="00641315">
            <w:pPr>
              <w:pStyle w:val="Testonotaapidipagina"/>
              <w:jc w:val="center"/>
              <w:rPr>
                <w:sz w:val="18"/>
                <w:szCs w:val="18"/>
              </w:rPr>
            </w:pPr>
            <w:r w:rsidRPr="004E23CC">
              <w:rPr>
                <w:sz w:val="18"/>
                <w:szCs w:val="18"/>
              </w:rPr>
              <w:t>72</w:t>
            </w:r>
          </w:p>
        </w:tc>
        <w:tc>
          <w:tcPr>
            <w:tcW w:w="3260" w:type="dxa"/>
          </w:tcPr>
          <w:p w:rsidR="00985AA6" w:rsidRPr="004E23CC" w:rsidRDefault="00985AA6" w:rsidP="00641315">
            <w:pPr>
              <w:pStyle w:val="Testonotaapidipagina"/>
              <w:jc w:val="center"/>
              <w:rPr>
                <w:sz w:val="18"/>
                <w:szCs w:val="18"/>
              </w:rPr>
            </w:pPr>
            <w:r w:rsidRPr="004E23CC">
              <w:rPr>
                <w:sz w:val="18"/>
                <w:szCs w:val="18"/>
              </w:rPr>
              <w:t>32</w:t>
            </w:r>
          </w:p>
        </w:tc>
      </w:tr>
    </w:tbl>
    <w:p w:rsidR="00985AA6" w:rsidRPr="004E23CC" w:rsidRDefault="00985AA6">
      <w:pPr>
        <w:pStyle w:val="Testonotaapidipagina"/>
        <w:rPr>
          <w:sz w:val="18"/>
          <w:szCs w:val="18"/>
        </w:rPr>
      </w:pPr>
    </w:p>
  </w:footnote>
  <w:footnote w:id="5">
    <w:p w:rsidR="00985AA6" w:rsidRPr="004E23CC" w:rsidRDefault="00985AA6" w:rsidP="005A2732">
      <w:pPr>
        <w:pStyle w:val="Testonotaapidipagina"/>
        <w:jc w:val="both"/>
        <w:rPr>
          <w:sz w:val="18"/>
          <w:szCs w:val="18"/>
        </w:rPr>
      </w:pPr>
      <w:r w:rsidRPr="004E23CC">
        <w:rPr>
          <w:rStyle w:val="Rimandonotaapidipagina"/>
          <w:sz w:val="18"/>
          <w:szCs w:val="18"/>
        </w:rPr>
        <w:footnoteRef/>
      </w:r>
      <w:r w:rsidRPr="004E23CC">
        <w:rPr>
          <w:sz w:val="18"/>
          <w:szCs w:val="18"/>
        </w:rPr>
        <w:t xml:space="preserve"> Comma 129</w:t>
      </w:r>
    </w:p>
    <w:p w:rsidR="00985AA6" w:rsidRPr="004E23CC" w:rsidRDefault="00985AA6" w:rsidP="005A2732">
      <w:pPr>
        <w:pStyle w:val="Testonotaapidipagina"/>
        <w:jc w:val="both"/>
        <w:rPr>
          <w:sz w:val="18"/>
          <w:szCs w:val="18"/>
        </w:rPr>
      </w:pPr>
      <w:r w:rsidRPr="004E23CC">
        <w:rPr>
          <w:sz w:val="18"/>
          <w:szCs w:val="18"/>
        </w:rPr>
        <w:t xml:space="preserve">CRITERIO A:  qualità dell'insegnamento e del contributo al miglioramento dell'istituzione scolastica, nonché del successo formativo e scolastico degli studenti; </w:t>
      </w:r>
    </w:p>
    <w:p w:rsidR="00985AA6" w:rsidRPr="004E23CC" w:rsidRDefault="00985AA6" w:rsidP="005A2732">
      <w:pPr>
        <w:pStyle w:val="Testonotaapidipagina"/>
        <w:jc w:val="both"/>
        <w:rPr>
          <w:sz w:val="18"/>
          <w:szCs w:val="18"/>
        </w:rPr>
      </w:pPr>
      <w:r w:rsidRPr="004E23CC">
        <w:rPr>
          <w:sz w:val="18"/>
          <w:szCs w:val="18"/>
        </w:rPr>
        <w:t xml:space="preserve">CRITERIO B: risultati ottenuti dal docente o dal gruppo di docenti in relazione al potenziamento delle competenze degli alunni e dell'innovazione didattica e metodologica, nonché della collaborazione alla ricerca didattica, alla documentazione e alla diffusione di buone pratiche didattiche; </w:t>
      </w:r>
    </w:p>
    <w:p w:rsidR="00985AA6" w:rsidRPr="004E23CC" w:rsidRDefault="00985AA6" w:rsidP="005A2732">
      <w:pPr>
        <w:pStyle w:val="Testonotaapidipagina"/>
        <w:jc w:val="both"/>
        <w:rPr>
          <w:sz w:val="18"/>
          <w:szCs w:val="18"/>
        </w:rPr>
      </w:pPr>
      <w:r w:rsidRPr="004E23CC">
        <w:rPr>
          <w:sz w:val="18"/>
          <w:szCs w:val="18"/>
        </w:rPr>
        <w:t xml:space="preserve">CRITERIO C: responsabilità assunte nel coordinamento organizzativo e didattico e nella formazione del personale. </w:t>
      </w:r>
    </w:p>
  </w:footnote>
  <w:footnote w:id="6">
    <w:p w:rsidR="00985AA6" w:rsidRPr="000156AB" w:rsidRDefault="00985AA6" w:rsidP="00E20CD7">
      <w:pPr>
        <w:spacing w:after="0"/>
        <w:jc w:val="both"/>
        <w:rPr>
          <w:sz w:val="18"/>
          <w:szCs w:val="18"/>
        </w:rPr>
      </w:pPr>
      <w:r w:rsidRPr="000156AB">
        <w:rPr>
          <w:rStyle w:val="Rimandonotaapidipagina"/>
          <w:sz w:val="18"/>
          <w:szCs w:val="18"/>
        </w:rPr>
        <w:footnoteRef/>
      </w:r>
      <w:r>
        <w:rPr>
          <w:sz w:val="18"/>
          <w:szCs w:val="18"/>
        </w:rPr>
        <w:t xml:space="preserve"> Non hanno compilato la scheda 4 </w:t>
      </w:r>
      <w:r w:rsidRPr="000156AB">
        <w:rPr>
          <w:sz w:val="18"/>
          <w:szCs w:val="18"/>
        </w:rPr>
        <w:t xml:space="preserve"> istituzioni scolastiche</w:t>
      </w:r>
    </w:p>
  </w:footnote>
  <w:footnote w:id="7">
    <w:p w:rsidR="00985AA6" w:rsidRPr="00F63D09" w:rsidRDefault="00985AA6" w:rsidP="00F63D09">
      <w:pPr>
        <w:pStyle w:val="Testonotaapidipagina"/>
        <w:jc w:val="both"/>
        <w:rPr>
          <w:sz w:val="18"/>
          <w:szCs w:val="18"/>
        </w:rPr>
      </w:pPr>
      <w:r w:rsidRPr="00F63D09">
        <w:rPr>
          <w:rStyle w:val="Rimandonotaapidipagina"/>
          <w:sz w:val="18"/>
          <w:szCs w:val="18"/>
        </w:rPr>
        <w:footnoteRef/>
      </w:r>
      <w:r w:rsidRPr="00F63D09">
        <w:rPr>
          <w:sz w:val="18"/>
          <w:szCs w:val="18"/>
        </w:rPr>
        <w:t xml:space="preserve"> Il 14,8% che ha dichiarato che il </w:t>
      </w:r>
      <w:r w:rsidRPr="00F63D09">
        <w:rPr>
          <w:rFonts w:cs="Arial"/>
          <w:bCs/>
          <w:sz w:val="18"/>
          <w:szCs w:val="18"/>
          <w:shd w:val="clear" w:color="auto" w:fill="FFFFFF"/>
        </w:rPr>
        <w:t xml:space="preserve">COMITATO DI VALUTAZIONE non ha  individuato i criteri alla scadenza del 6 maggio (nota </w:t>
      </w:r>
      <w:r w:rsidRPr="00F63D09">
        <w:rPr>
          <w:sz w:val="18"/>
          <w:szCs w:val="18"/>
        </w:rPr>
        <w:t xml:space="preserve">MIUR </w:t>
      </w:r>
      <w:proofErr w:type="spellStart"/>
      <w:r w:rsidRPr="00F63D09">
        <w:rPr>
          <w:sz w:val="18"/>
          <w:szCs w:val="18"/>
        </w:rPr>
        <w:t>prot</w:t>
      </w:r>
      <w:proofErr w:type="spellEnd"/>
      <w:r w:rsidRPr="00F63D09">
        <w:rPr>
          <w:sz w:val="18"/>
          <w:szCs w:val="18"/>
        </w:rPr>
        <w:t>. 4370 del 20/4/016)</w:t>
      </w:r>
      <w:r>
        <w:rPr>
          <w:sz w:val="18"/>
          <w:szCs w:val="18"/>
        </w:rPr>
        <w:t xml:space="preserve">, ma </w:t>
      </w:r>
      <w:r w:rsidRPr="00F63D09">
        <w:rPr>
          <w:sz w:val="18"/>
          <w:szCs w:val="18"/>
        </w:rPr>
        <w:t xml:space="preserve"> </w:t>
      </w:r>
      <w:r>
        <w:rPr>
          <w:sz w:val="18"/>
          <w:szCs w:val="18"/>
        </w:rPr>
        <w:t>con procedure delibe</w:t>
      </w:r>
      <w:r w:rsidRPr="00F63D09">
        <w:rPr>
          <w:sz w:val="18"/>
          <w:szCs w:val="18"/>
        </w:rPr>
        <w:t>rative  succes</w:t>
      </w:r>
      <w:r>
        <w:rPr>
          <w:sz w:val="18"/>
          <w:szCs w:val="18"/>
        </w:rPr>
        <w:t xml:space="preserve">sive </w:t>
      </w:r>
      <w:r w:rsidRPr="00F63D09">
        <w:rPr>
          <w:sz w:val="18"/>
          <w:szCs w:val="18"/>
        </w:rPr>
        <w:t>alla data prevista hanno comunque individuato i criter</w:t>
      </w:r>
      <w:r>
        <w:rPr>
          <w:sz w:val="18"/>
          <w:szCs w:val="18"/>
        </w:rPr>
        <w:t>i e proceduto alla distribuzione</w:t>
      </w:r>
      <w:r w:rsidRPr="00F63D09">
        <w:rPr>
          <w:sz w:val="18"/>
          <w:szCs w:val="18"/>
        </w:rPr>
        <w:t xml:space="preserve"> del Fondo per il Merito</w:t>
      </w:r>
    </w:p>
  </w:footnote>
  <w:footnote w:id="8">
    <w:p w:rsidR="00985AA6" w:rsidRPr="000C27CB" w:rsidRDefault="00985AA6">
      <w:pPr>
        <w:pStyle w:val="Testonotaapidipagina"/>
        <w:rPr>
          <w:sz w:val="18"/>
          <w:szCs w:val="18"/>
        </w:rPr>
      </w:pPr>
      <w:r w:rsidRPr="000C27CB">
        <w:rPr>
          <w:rStyle w:val="Rimandonotaapidipagina"/>
          <w:sz w:val="18"/>
          <w:szCs w:val="18"/>
        </w:rPr>
        <w:footnoteRef/>
      </w:r>
      <w:r w:rsidRPr="000C27CB">
        <w:rPr>
          <w:sz w:val="18"/>
          <w:szCs w:val="18"/>
        </w:rPr>
        <w:t xml:space="preserve"> Si noti che l’istituto superiore </w:t>
      </w:r>
      <w:proofErr w:type="spellStart"/>
      <w:r w:rsidRPr="000C27CB">
        <w:rPr>
          <w:sz w:val="18"/>
          <w:szCs w:val="18"/>
        </w:rPr>
        <w:t>Des</w:t>
      </w:r>
      <w:proofErr w:type="spellEnd"/>
      <w:r w:rsidRPr="000C27CB">
        <w:rPr>
          <w:sz w:val="18"/>
          <w:szCs w:val="18"/>
        </w:rPr>
        <w:t xml:space="preserve">  </w:t>
      </w:r>
      <w:proofErr w:type="spellStart"/>
      <w:r w:rsidRPr="000C27CB">
        <w:rPr>
          <w:sz w:val="18"/>
          <w:szCs w:val="18"/>
        </w:rPr>
        <w:t>Ambrois</w:t>
      </w:r>
      <w:proofErr w:type="spellEnd"/>
      <w:r w:rsidRPr="000C27CB">
        <w:rPr>
          <w:sz w:val="18"/>
          <w:szCs w:val="18"/>
        </w:rPr>
        <w:t xml:space="preserve"> di Oulx (TO) è omnicomprensivo (IIS + secondaria di I grado)</w:t>
      </w:r>
    </w:p>
  </w:footnote>
  <w:footnote w:id="9">
    <w:p w:rsidR="00985AA6" w:rsidRPr="00A81422" w:rsidRDefault="00985AA6">
      <w:pPr>
        <w:pStyle w:val="Testonotaapidipagina"/>
        <w:rPr>
          <w:sz w:val="18"/>
          <w:szCs w:val="18"/>
        </w:rPr>
      </w:pPr>
      <w:r w:rsidRPr="00A81422">
        <w:rPr>
          <w:rStyle w:val="Rimandonotaapidipagina"/>
          <w:sz w:val="18"/>
          <w:szCs w:val="18"/>
        </w:rPr>
        <w:footnoteRef/>
      </w:r>
      <w:r w:rsidRPr="00A81422">
        <w:rPr>
          <w:sz w:val="18"/>
          <w:szCs w:val="18"/>
        </w:rPr>
        <w:t xml:space="preserve"> </w:t>
      </w:r>
      <w:r w:rsidRPr="005E7D2A">
        <w:rPr>
          <w:sz w:val="18"/>
          <w:szCs w:val="18"/>
        </w:rPr>
        <w:t>Le scuole che hanno segnalato l’utilizzo di questionari somministrati agli studenti sono evidenziati in azzurro nell’allegato 1</w:t>
      </w:r>
    </w:p>
  </w:footnote>
  <w:footnote w:id="10">
    <w:p w:rsidR="005E7D2A" w:rsidRDefault="005E7D2A" w:rsidP="005E7D2A">
      <w:pPr>
        <w:pStyle w:val="Testonotaapidipagina"/>
      </w:pPr>
      <w:r>
        <w:rPr>
          <w:rStyle w:val="Rimandonotaapidipagina"/>
        </w:rPr>
        <w:footnoteRef/>
      </w:r>
      <w:r>
        <w:t xml:space="preserve"> </w:t>
      </w:r>
      <w:r w:rsidRPr="005E7D2A">
        <w:rPr>
          <w:sz w:val="18"/>
          <w:szCs w:val="18"/>
        </w:rPr>
        <w:t>Da segnalare, per alcuni istituti del secondo ciclo la comparsa delle  attività di tutoraggio in percorsi di ASL introdotti a partire dal 2015/2016 Legge 107 commi  33:39</w:t>
      </w:r>
    </w:p>
    <w:p w:rsidR="005E7D2A" w:rsidRDefault="005E7D2A">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702"/>
      <w:gridCol w:w="1152"/>
    </w:tblGrid>
    <w:tr w:rsidR="00985AA6">
      <w:tc>
        <w:tcPr>
          <w:tcW w:w="0" w:type="auto"/>
          <w:tcBorders>
            <w:right w:val="single" w:sz="6" w:space="0" w:color="000000" w:themeColor="text1"/>
          </w:tcBorders>
        </w:tcPr>
        <w:sdt>
          <w:sdtPr>
            <w:rPr>
              <w:sz w:val="18"/>
              <w:szCs w:val="18"/>
            </w:rPr>
            <w:alias w:val="Società"/>
            <w:id w:val="78735422"/>
            <w:placeholder>
              <w:docPart w:val="F33834B98C894D1E91D5F4908FEAECD9"/>
            </w:placeholder>
            <w:dataBinding w:prefixMappings="xmlns:ns0='http://schemas.openxmlformats.org/officeDocument/2006/extended-properties'" w:xpath="/ns0:Properties[1]/ns0:Company[1]" w:storeItemID="{6668398D-A668-4E3E-A5EB-62B293D839F1}"/>
            <w:text/>
          </w:sdtPr>
          <w:sdtContent>
            <w:p w:rsidR="00985AA6" w:rsidRDefault="00985AA6">
              <w:pPr>
                <w:pStyle w:val="Intestazione"/>
                <w:jc w:val="right"/>
              </w:pPr>
              <w:r w:rsidRPr="00BE7DF9">
                <w:rPr>
                  <w:sz w:val="18"/>
                  <w:szCs w:val="18"/>
                </w:rPr>
                <w:t>Valorizzazione Professionale</w:t>
              </w:r>
            </w:p>
          </w:sdtContent>
        </w:sdt>
        <w:sdt>
          <w:sdtPr>
            <w:rPr>
              <w:bCs/>
              <w:sz w:val="16"/>
              <w:szCs w:val="16"/>
            </w:rPr>
            <w:alias w:val="Titolo"/>
            <w:id w:val="78735415"/>
            <w:placeholder>
              <w:docPart w:val="6424FF10C2754580ABDD3F6FC8442028"/>
            </w:placeholder>
            <w:dataBinding w:prefixMappings="xmlns:ns0='http://schemas.openxmlformats.org/package/2006/metadata/core-properties' xmlns:ns1='http://purl.org/dc/elements/1.1/'" w:xpath="/ns0:coreProperties[1]/ns1:title[1]" w:storeItemID="{6C3C8BC8-F283-45AE-878A-BAB7291924A1}"/>
            <w:text/>
          </w:sdtPr>
          <w:sdtContent>
            <w:p w:rsidR="00985AA6" w:rsidRDefault="00985AA6" w:rsidP="00BE7DF9">
              <w:pPr>
                <w:pStyle w:val="Intestazione"/>
                <w:jc w:val="right"/>
                <w:rPr>
                  <w:b/>
                  <w:bCs/>
                </w:rPr>
              </w:pPr>
              <w:r w:rsidRPr="00BE7DF9">
                <w:rPr>
                  <w:bCs/>
                  <w:sz w:val="16"/>
                  <w:szCs w:val="16"/>
                </w:rPr>
                <w:t>DT. M. Torelli Staff G. Priotti, P. Nervo</w:t>
              </w:r>
            </w:p>
          </w:sdtContent>
        </w:sdt>
      </w:tc>
      <w:tc>
        <w:tcPr>
          <w:tcW w:w="1152" w:type="dxa"/>
          <w:tcBorders>
            <w:left w:val="single" w:sz="6" w:space="0" w:color="000000" w:themeColor="text1"/>
          </w:tcBorders>
        </w:tcPr>
        <w:p w:rsidR="00985AA6" w:rsidRPr="00BE7DF9" w:rsidRDefault="00985AA6">
          <w:pPr>
            <w:pStyle w:val="Intestazione"/>
            <w:rPr>
              <w:b/>
              <w:bCs/>
              <w:sz w:val="18"/>
              <w:szCs w:val="18"/>
            </w:rPr>
          </w:pPr>
          <w:r w:rsidRPr="00BE7DF9">
            <w:rPr>
              <w:sz w:val="18"/>
              <w:szCs w:val="18"/>
            </w:rPr>
            <w:fldChar w:fldCharType="begin"/>
          </w:r>
          <w:r w:rsidRPr="00BE7DF9">
            <w:rPr>
              <w:sz w:val="18"/>
              <w:szCs w:val="18"/>
            </w:rPr>
            <w:instrText>PAGE   \* MERGEFORMAT</w:instrText>
          </w:r>
          <w:r w:rsidRPr="00BE7DF9">
            <w:rPr>
              <w:sz w:val="18"/>
              <w:szCs w:val="18"/>
            </w:rPr>
            <w:fldChar w:fldCharType="separate"/>
          </w:r>
          <w:r w:rsidR="00905442">
            <w:rPr>
              <w:noProof/>
              <w:sz w:val="18"/>
              <w:szCs w:val="18"/>
            </w:rPr>
            <w:t>16</w:t>
          </w:r>
          <w:r w:rsidRPr="00BE7DF9">
            <w:rPr>
              <w:sz w:val="18"/>
              <w:szCs w:val="18"/>
            </w:rPr>
            <w:fldChar w:fldCharType="end"/>
          </w:r>
        </w:p>
      </w:tc>
    </w:tr>
  </w:tbl>
  <w:p w:rsidR="00985AA6" w:rsidRDefault="00985AA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81C"/>
    <w:multiLevelType w:val="multilevel"/>
    <w:tmpl w:val="3178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D1753"/>
    <w:multiLevelType w:val="hybridMultilevel"/>
    <w:tmpl w:val="E592C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3F37D5"/>
    <w:multiLevelType w:val="multilevel"/>
    <w:tmpl w:val="3A8EDE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E7F7A"/>
    <w:multiLevelType w:val="hybridMultilevel"/>
    <w:tmpl w:val="77FC98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570C7F"/>
    <w:multiLevelType w:val="hybridMultilevel"/>
    <w:tmpl w:val="4B66FA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5710F2"/>
    <w:multiLevelType w:val="multilevel"/>
    <w:tmpl w:val="3A8EDE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7C2F56"/>
    <w:multiLevelType w:val="multilevel"/>
    <w:tmpl w:val="3A8EDE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AE18F4"/>
    <w:multiLevelType w:val="hybridMultilevel"/>
    <w:tmpl w:val="FA868C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E0811B4"/>
    <w:multiLevelType w:val="hybridMultilevel"/>
    <w:tmpl w:val="B91CE5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0"/>
  </w:num>
  <w:num w:numId="5">
    <w:abstractNumId w:val="2"/>
  </w:num>
  <w:num w:numId="6">
    <w:abstractNumId w:val="5"/>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4F"/>
    <w:rsid w:val="000156AB"/>
    <w:rsid w:val="00023B98"/>
    <w:rsid w:val="000263BF"/>
    <w:rsid w:val="00040D41"/>
    <w:rsid w:val="00046BE3"/>
    <w:rsid w:val="00055B8F"/>
    <w:rsid w:val="00055D48"/>
    <w:rsid w:val="000A05D0"/>
    <w:rsid w:val="000A3B59"/>
    <w:rsid w:val="000B51F4"/>
    <w:rsid w:val="000C27CB"/>
    <w:rsid w:val="000E38CC"/>
    <w:rsid w:val="000E595F"/>
    <w:rsid w:val="0013195C"/>
    <w:rsid w:val="00132A7C"/>
    <w:rsid w:val="001624A7"/>
    <w:rsid w:val="001B0C85"/>
    <w:rsid w:val="001D6D6C"/>
    <w:rsid w:val="001F370A"/>
    <w:rsid w:val="001F58CF"/>
    <w:rsid w:val="002155D8"/>
    <w:rsid w:val="00223C49"/>
    <w:rsid w:val="00237691"/>
    <w:rsid w:val="00245301"/>
    <w:rsid w:val="00256786"/>
    <w:rsid w:val="0028026F"/>
    <w:rsid w:val="0028448A"/>
    <w:rsid w:val="002D5355"/>
    <w:rsid w:val="002D6C4C"/>
    <w:rsid w:val="002E5823"/>
    <w:rsid w:val="002F2817"/>
    <w:rsid w:val="00313C35"/>
    <w:rsid w:val="00343BFC"/>
    <w:rsid w:val="00361B63"/>
    <w:rsid w:val="003677C9"/>
    <w:rsid w:val="003C5EF5"/>
    <w:rsid w:val="003D5A66"/>
    <w:rsid w:val="003F6464"/>
    <w:rsid w:val="004039B7"/>
    <w:rsid w:val="00426BAE"/>
    <w:rsid w:val="004309DE"/>
    <w:rsid w:val="00440F1C"/>
    <w:rsid w:val="004663F2"/>
    <w:rsid w:val="00496591"/>
    <w:rsid w:val="004D4753"/>
    <w:rsid w:val="004E23CC"/>
    <w:rsid w:val="004F7738"/>
    <w:rsid w:val="004F7927"/>
    <w:rsid w:val="00507480"/>
    <w:rsid w:val="005113A0"/>
    <w:rsid w:val="005113D7"/>
    <w:rsid w:val="005153DE"/>
    <w:rsid w:val="005358DB"/>
    <w:rsid w:val="00541B00"/>
    <w:rsid w:val="0054462E"/>
    <w:rsid w:val="0056211C"/>
    <w:rsid w:val="00565B25"/>
    <w:rsid w:val="00565DBD"/>
    <w:rsid w:val="005724B6"/>
    <w:rsid w:val="00572D07"/>
    <w:rsid w:val="0057308E"/>
    <w:rsid w:val="005875DC"/>
    <w:rsid w:val="005A2732"/>
    <w:rsid w:val="005B6DA5"/>
    <w:rsid w:val="005D600B"/>
    <w:rsid w:val="005E7D2A"/>
    <w:rsid w:val="005F3020"/>
    <w:rsid w:val="00603217"/>
    <w:rsid w:val="00615158"/>
    <w:rsid w:val="00641315"/>
    <w:rsid w:val="006421E3"/>
    <w:rsid w:val="00673612"/>
    <w:rsid w:val="0068067E"/>
    <w:rsid w:val="006C7FE6"/>
    <w:rsid w:val="006E0ADD"/>
    <w:rsid w:val="00703707"/>
    <w:rsid w:val="007163EB"/>
    <w:rsid w:val="00765433"/>
    <w:rsid w:val="00781C26"/>
    <w:rsid w:val="00783AC7"/>
    <w:rsid w:val="007C298F"/>
    <w:rsid w:val="007D6EB1"/>
    <w:rsid w:val="007F6E8E"/>
    <w:rsid w:val="008151DE"/>
    <w:rsid w:val="008507EB"/>
    <w:rsid w:val="008B2822"/>
    <w:rsid w:val="008D6CC7"/>
    <w:rsid w:val="008E0B09"/>
    <w:rsid w:val="008F0866"/>
    <w:rsid w:val="00901A33"/>
    <w:rsid w:val="009049C2"/>
    <w:rsid w:val="00905442"/>
    <w:rsid w:val="00947580"/>
    <w:rsid w:val="00947AC1"/>
    <w:rsid w:val="0095100D"/>
    <w:rsid w:val="00985AA6"/>
    <w:rsid w:val="00992B38"/>
    <w:rsid w:val="009A091C"/>
    <w:rsid w:val="009A67FB"/>
    <w:rsid w:val="009B283D"/>
    <w:rsid w:val="009F25DB"/>
    <w:rsid w:val="009F63C6"/>
    <w:rsid w:val="00A20D15"/>
    <w:rsid w:val="00A30BC8"/>
    <w:rsid w:val="00A30CAE"/>
    <w:rsid w:val="00A36392"/>
    <w:rsid w:val="00A40F5C"/>
    <w:rsid w:val="00A437E9"/>
    <w:rsid w:val="00A54E90"/>
    <w:rsid w:val="00A634F4"/>
    <w:rsid w:val="00A72CF9"/>
    <w:rsid w:val="00A81422"/>
    <w:rsid w:val="00A924BB"/>
    <w:rsid w:val="00AA26FE"/>
    <w:rsid w:val="00AA31CC"/>
    <w:rsid w:val="00AA7039"/>
    <w:rsid w:val="00AB1ED3"/>
    <w:rsid w:val="00AC04E4"/>
    <w:rsid w:val="00AC564C"/>
    <w:rsid w:val="00AC62EB"/>
    <w:rsid w:val="00AD3E1E"/>
    <w:rsid w:val="00AD782D"/>
    <w:rsid w:val="00AE5CD6"/>
    <w:rsid w:val="00AE7F16"/>
    <w:rsid w:val="00AF257D"/>
    <w:rsid w:val="00B00DC3"/>
    <w:rsid w:val="00B25C03"/>
    <w:rsid w:val="00B4171B"/>
    <w:rsid w:val="00B540E6"/>
    <w:rsid w:val="00B70B25"/>
    <w:rsid w:val="00B90AC0"/>
    <w:rsid w:val="00BD17D5"/>
    <w:rsid w:val="00BD5FD7"/>
    <w:rsid w:val="00BD6DFE"/>
    <w:rsid w:val="00BE4EAB"/>
    <w:rsid w:val="00BE7DF9"/>
    <w:rsid w:val="00C0308D"/>
    <w:rsid w:val="00C2129D"/>
    <w:rsid w:val="00C63246"/>
    <w:rsid w:val="00CC43E9"/>
    <w:rsid w:val="00CE1810"/>
    <w:rsid w:val="00CE1F3F"/>
    <w:rsid w:val="00D03A3B"/>
    <w:rsid w:val="00D166A9"/>
    <w:rsid w:val="00D64327"/>
    <w:rsid w:val="00D6681B"/>
    <w:rsid w:val="00D95369"/>
    <w:rsid w:val="00DA0C1E"/>
    <w:rsid w:val="00DE42BC"/>
    <w:rsid w:val="00E02681"/>
    <w:rsid w:val="00E12CAC"/>
    <w:rsid w:val="00E14922"/>
    <w:rsid w:val="00E20CD7"/>
    <w:rsid w:val="00E25D1C"/>
    <w:rsid w:val="00E345EE"/>
    <w:rsid w:val="00E66E43"/>
    <w:rsid w:val="00E71A29"/>
    <w:rsid w:val="00E7316E"/>
    <w:rsid w:val="00E77560"/>
    <w:rsid w:val="00E83A00"/>
    <w:rsid w:val="00E90E23"/>
    <w:rsid w:val="00EB6059"/>
    <w:rsid w:val="00ED6654"/>
    <w:rsid w:val="00EE12AF"/>
    <w:rsid w:val="00EE2C74"/>
    <w:rsid w:val="00EF71F9"/>
    <w:rsid w:val="00F05522"/>
    <w:rsid w:val="00F17C38"/>
    <w:rsid w:val="00F25591"/>
    <w:rsid w:val="00F47B25"/>
    <w:rsid w:val="00F63D09"/>
    <w:rsid w:val="00F67224"/>
    <w:rsid w:val="00F719E3"/>
    <w:rsid w:val="00F91587"/>
    <w:rsid w:val="00F96FC5"/>
    <w:rsid w:val="00FA6792"/>
    <w:rsid w:val="00FB763E"/>
    <w:rsid w:val="00FC2205"/>
    <w:rsid w:val="00FE024F"/>
    <w:rsid w:val="00FF3667"/>
    <w:rsid w:val="00FF4B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E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F64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6464"/>
    <w:rPr>
      <w:rFonts w:ascii="Tahoma" w:hAnsi="Tahoma" w:cs="Tahoma"/>
      <w:sz w:val="16"/>
      <w:szCs w:val="16"/>
    </w:rPr>
  </w:style>
  <w:style w:type="paragraph" w:styleId="Testonotaapidipagina">
    <w:name w:val="footnote text"/>
    <w:basedOn w:val="Normale"/>
    <w:link w:val="TestonotaapidipaginaCarattere"/>
    <w:uiPriority w:val="99"/>
    <w:unhideWhenUsed/>
    <w:rsid w:val="00E12CA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12CAC"/>
    <w:rPr>
      <w:sz w:val="20"/>
      <w:szCs w:val="20"/>
    </w:rPr>
  </w:style>
  <w:style w:type="character" w:styleId="Rimandonotaapidipagina">
    <w:name w:val="footnote reference"/>
    <w:basedOn w:val="Carpredefinitoparagrafo"/>
    <w:uiPriority w:val="99"/>
    <w:semiHidden/>
    <w:unhideWhenUsed/>
    <w:rsid w:val="00E12CAC"/>
    <w:rPr>
      <w:vertAlign w:val="superscript"/>
    </w:rPr>
  </w:style>
  <w:style w:type="character" w:customStyle="1" w:styleId="scheda-domanda">
    <w:name w:val="scheda-domanda"/>
    <w:basedOn w:val="Carpredefinitoparagrafo"/>
    <w:rsid w:val="000C27CB"/>
  </w:style>
  <w:style w:type="character" w:styleId="Collegamentoipertestuale">
    <w:name w:val="Hyperlink"/>
    <w:basedOn w:val="Carpredefinitoparagrafo"/>
    <w:uiPriority w:val="99"/>
    <w:unhideWhenUsed/>
    <w:rsid w:val="004E23CC"/>
    <w:rPr>
      <w:color w:val="0000FF" w:themeColor="hyperlink"/>
      <w:u w:val="single"/>
    </w:rPr>
  </w:style>
  <w:style w:type="paragraph" w:styleId="Paragrafoelenco">
    <w:name w:val="List Paragraph"/>
    <w:basedOn w:val="Normale"/>
    <w:uiPriority w:val="34"/>
    <w:qFormat/>
    <w:rsid w:val="00F47B25"/>
    <w:pPr>
      <w:ind w:left="720"/>
      <w:contextualSpacing/>
    </w:pPr>
  </w:style>
  <w:style w:type="table" w:styleId="Sfondochiaro-Colore1">
    <w:name w:val="Light Shading Accent 1"/>
    <w:basedOn w:val="Tabellanormale"/>
    <w:uiPriority w:val="60"/>
    <w:rsid w:val="005875D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Carpredefinitoparagrafo"/>
    <w:rsid w:val="00E77560"/>
  </w:style>
  <w:style w:type="table" w:styleId="Sfondochiaro-Colore2">
    <w:name w:val="Light Shading Accent 2"/>
    <w:basedOn w:val="Tabellanormale"/>
    <w:uiPriority w:val="60"/>
    <w:rsid w:val="00E7756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5">
    <w:name w:val="Light Shading Accent 5"/>
    <w:basedOn w:val="Tabellanormale"/>
    <w:uiPriority w:val="60"/>
    <w:rsid w:val="00E775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Intestazione">
    <w:name w:val="header"/>
    <w:basedOn w:val="Normale"/>
    <w:link w:val="IntestazioneCarattere"/>
    <w:uiPriority w:val="99"/>
    <w:unhideWhenUsed/>
    <w:rsid w:val="00BE7D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7DF9"/>
  </w:style>
  <w:style w:type="paragraph" w:styleId="Pidipagina">
    <w:name w:val="footer"/>
    <w:basedOn w:val="Normale"/>
    <w:link w:val="PidipaginaCarattere"/>
    <w:uiPriority w:val="99"/>
    <w:unhideWhenUsed/>
    <w:rsid w:val="00BE7D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7DF9"/>
  </w:style>
  <w:style w:type="character" w:styleId="Collegamentovisitato">
    <w:name w:val="FollowedHyperlink"/>
    <w:basedOn w:val="Carpredefinitoparagrafo"/>
    <w:uiPriority w:val="99"/>
    <w:semiHidden/>
    <w:unhideWhenUsed/>
    <w:rsid w:val="00541B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E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F64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6464"/>
    <w:rPr>
      <w:rFonts w:ascii="Tahoma" w:hAnsi="Tahoma" w:cs="Tahoma"/>
      <w:sz w:val="16"/>
      <w:szCs w:val="16"/>
    </w:rPr>
  </w:style>
  <w:style w:type="paragraph" w:styleId="Testonotaapidipagina">
    <w:name w:val="footnote text"/>
    <w:basedOn w:val="Normale"/>
    <w:link w:val="TestonotaapidipaginaCarattere"/>
    <w:uiPriority w:val="99"/>
    <w:unhideWhenUsed/>
    <w:rsid w:val="00E12CA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12CAC"/>
    <w:rPr>
      <w:sz w:val="20"/>
      <w:szCs w:val="20"/>
    </w:rPr>
  </w:style>
  <w:style w:type="character" w:styleId="Rimandonotaapidipagina">
    <w:name w:val="footnote reference"/>
    <w:basedOn w:val="Carpredefinitoparagrafo"/>
    <w:uiPriority w:val="99"/>
    <w:semiHidden/>
    <w:unhideWhenUsed/>
    <w:rsid w:val="00E12CAC"/>
    <w:rPr>
      <w:vertAlign w:val="superscript"/>
    </w:rPr>
  </w:style>
  <w:style w:type="character" w:customStyle="1" w:styleId="scheda-domanda">
    <w:name w:val="scheda-domanda"/>
    <w:basedOn w:val="Carpredefinitoparagrafo"/>
    <w:rsid w:val="000C27CB"/>
  </w:style>
  <w:style w:type="character" w:styleId="Collegamentoipertestuale">
    <w:name w:val="Hyperlink"/>
    <w:basedOn w:val="Carpredefinitoparagrafo"/>
    <w:uiPriority w:val="99"/>
    <w:unhideWhenUsed/>
    <w:rsid w:val="004E23CC"/>
    <w:rPr>
      <w:color w:val="0000FF" w:themeColor="hyperlink"/>
      <w:u w:val="single"/>
    </w:rPr>
  </w:style>
  <w:style w:type="paragraph" w:styleId="Paragrafoelenco">
    <w:name w:val="List Paragraph"/>
    <w:basedOn w:val="Normale"/>
    <w:uiPriority w:val="34"/>
    <w:qFormat/>
    <w:rsid w:val="00F47B25"/>
    <w:pPr>
      <w:ind w:left="720"/>
      <w:contextualSpacing/>
    </w:pPr>
  </w:style>
  <w:style w:type="table" w:styleId="Sfondochiaro-Colore1">
    <w:name w:val="Light Shading Accent 1"/>
    <w:basedOn w:val="Tabellanormale"/>
    <w:uiPriority w:val="60"/>
    <w:rsid w:val="005875D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Carpredefinitoparagrafo"/>
    <w:rsid w:val="00E77560"/>
  </w:style>
  <w:style w:type="table" w:styleId="Sfondochiaro-Colore2">
    <w:name w:val="Light Shading Accent 2"/>
    <w:basedOn w:val="Tabellanormale"/>
    <w:uiPriority w:val="60"/>
    <w:rsid w:val="00E7756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5">
    <w:name w:val="Light Shading Accent 5"/>
    <w:basedOn w:val="Tabellanormale"/>
    <w:uiPriority w:val="60"/>
    <w:rsid w:val="00E775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Intestazione">
    <w:name w:val="header"/>
    <w:basedOn w:val="Normale"/>
    <w:link w:val="IntestazioneCarattere"/>
    <w:uiPriority w:val="99"/>
    <w:unhideWhenUsed/>
    <w:rsid w:val="00BE7D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7DF9"/>
  </w:style>
  <w:style w:type="paragraph" w:styleId="Pidipagina">
    <w:name w:val="footer"/>
    <w:basedOn w:val="Normale"/>
    <w:link w:val="PidipaginaCarattere"/>
    <w:uiPriority w:val="99"/>
    <w:unhideWhenUsed/>
    <w:rsid w:val="00BE7D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7DF9"/>
  </w:style>
  <w:style w:type="character" w:styleId="Collegamentovisitato">
    <w:name w:val="FollowedHyperlink"/>
    <w:basedOn w:val="Carpredefinitoparagrafo"/>
    <w:uiPriority w:val="99"/>
    <w:semiHidden/>
    <w:unhideWhenUsed/>
    <w:rsid w:val="00541B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4831">
      <w:bodyDiv w:val="1"/>
      <w:marLeft w:val="0"/>
      <w:marRight w:val="0"/>
      <w:marTop w:val="0"/>
      <w:marBottom w:val="0"/>
      <w:divBdr>
        <w:top w:val="none" w:sz="0" w:space="0" w:color="auto"/>
        <w:left w:val="none" w:sz="0" w:space="0" w:color="auto"/>
        <w:bottom w:val="none" w:sz="0" w:space="0" w:color="auto"/>
        <w:right w:val="none" w:sz="0" w:space="0" w:color="auto"/>
      </w:divBdr>
    </w:div>
    <w:div w:id="989476245">
      <w:bodyDiv w:val="1"/>
      <w:marLeft w:val="0"/>
      <w:marRight w:val="0"/>
      <w:marTop w:val="0"/>
      <w:marBottom w:val="0"/>
      <w:divBdr>
        <w:top w:val="none" w:sz="0" w:space="0" w:color="auto"/>
        <w:left w:val="none" w:sz="0" w:space="0" w:color="auto"/>
        <w:bottom w:val="none" w:sz="0" w:space="0" w:color="auto"/>
        <w:right w:val="none" w:sz="0" w:space="0" w:color="auto"/>
      </w:divBdr>
      <w:divsChild>
        <w:div w:id="725177690">
          <w:marLeft w:val="0"/>
          <w:marRight w:val="0"/>
          <w:marTop w:val="0"/>
          <w:marBottom w:val="0"/>
          <w:divBdr>
            <w:top w:val="none" w:sz="0" w:space="0" w:color="auto"/>
            <w:left w:val="none" w:sz="0" w:space="0" w:color="auto"/>
            <w:bottom w:val="none" w:sz="0" w:space="0" w:color="auto"/>
            <w:right w:val="none" w:sz="0" w:space="0" w:color="auto"/>
          </w:divBdr>
        </w:div>
      </w:divsChild>
    </w:div>
    <w:div w:id="1142383139">
      <w:bodyDiv w:val="1"/>
      <w:marLeft w:val="0"/>
      <w:marRight w:val="0"/>
      <w:marTop w:val="0"/>
      <w:marBottom w:val="0"/>
      <w:divBdr>
        <w:top w:val="none" w:sz="0" w:space="0" w:color="auto"/>
        <w:left w:val="none" w:sz="0" w:space="0" w:color="auto"/>
        <w:bottom w:val="none" w:sz="0" w:space="0" w:color="auto"/>
        <w:right w:val="none" w:sz="0" w:space="0" w:color="auto"/>
      </w:divBdr>
      <w:divsChild>
        <w:div w:id="415321067">
          <w:marLeft w:val="-225"/>
          <w:marRight w:val="-225"/>
          <w:marTop w:val="0"/>
          <w:marBottom w:val="0"/>
          <w:divBdr>
            <w:top w:val="none" w:sz="0" w:space="0" w:color="auto"/>
            <w:left w:val="none" w:sz="0" w:space="0" w:color="auto"/>
            <w:bottom w:val="none" w:sz="0" w:space="0" w:color="auto"/>
            <w:right w:val="none" w:sz="0" w:space="0" w:color="auto"/>
          </w:divBdr>
          <w:divsChild>
            <w:div w:id="1219588366">
              <w:marLeft w:val="0"/>
              <w:marRight w:val="0"/>
              <w:marTop w:val="0"/>
              <w:marBottom w:val="225"/>
              <w:divBdr>
                <w:top w:val="none" w:sz="0" w:space="0" w:color="auto"/>
                <w:left w:val="none" w:sz="0" w:space="0" w:color="auto"/>
                <w:bottom w:val="none" w:sz="0" w:space="0" w:color="auto"/>
                <w:right w:val="none" w:sz="0" w:space="0" w:color="auto"/>
              </w:divBdr>
            </w:div>
            <w:div w:id="1580559408">
              <w:marLeft w:val="0"/>
              <w:marRight w:val="0"/>
              <w:marTop w:val="0"/>
              <w:marBottom w:val="0"/>
              <w:divBdr>
                <w:top w:val="none" w:sz="0" w:space="0" w:color="auto"/>
                <w:left w:val="none" w:sz="0" w:space="0" w:color="auto"/>
                <w:bottom w:val="none" w:sz="0" w:space="0" w:color="auto"/>
                <w:right w:val="none" w:sz="0" w:space="0" w:color="auto"/>
              </w:divBdr>
              <w:divsChild>
                <w:div w:id="278687337">
                  <w:marLeft w:val="0"/>
                  <w:marRight w:val="0"/>
                  <w:marTop w:val="0"/>
                  <w:marBottom w:val="0"/>
                  <w:divBdr>
                    <w:top w:val="none" w:sz="0" w:space="0" w:color="auto"/>
                    <w:left w:val="none" w:sz="0" w:space="0" w:color="auto"/>
                    <w:bottom w:val="none" w:sz="0" w:space="0" w:color="auto"/>
                    <w:right w:val="none" w:sz="0" w:space="0" w:color="auto"/>
                  </w:divBdr>
                </w:div>
                <w:div w:id="1396390987">
                  <w:marLeft w:val="0"/>
                  <w:marRight w:val="0"/>
                  <w:marTop w:val="0"/>
                  <w:marBottom w:val="0"/>
                  <w:divBdr>
                    <w:top w:val="none" w:sz="0" w:space="0" w:color="auto"/>
                    <w:left w:val="none" w:sz="0" w:space="0" w:color="auto"/>
                    <w:bottom w:val="none" w:sz="0" w:space="0" w:color="auto"/>
                    <w:right w:val="none" w:sz="0" w:space="0" w:color="auto"/>
                  </w:divBdr>
                </w:div>
              </w:divsChild>
            </w:div>
            <w:div w:id="1861042643">
              <w:marLeft w:val="0"/>
              <w:marRight w:val="0"/>
              <w:marTop w:val="0"/>
              <w:marBottom w:val="225"/>
              <w:divBdr>
                <w:top w:val="none" w:sz="0" w:space="0" w:color="auto"/>
                <w:left w:val="none" w:sz="0" w:space="0" w:color="auto"/>
                <w:bottom w:val="none" w:sz="0" w:space="0" w:color="auto"/>
                <w:right w:val="none" w:sz="0" w:space="0" w:color="auto"/>
              </w:divBdr>
            </w:div>
          </w:divsChild>
        </w:div>
        <w:div w:id="977153366">
          <w:marLeft w:val="-225"/>
          <w:marRight w:val="-225"/>
          <w:marTop w:val="0"/>
          <w:marBottom w:val="0"/>
          <w:divBdr>
            <w:top w:val="none" w:sz="0" w:space="0" w:color="auto"/>
            <w:left w:val="none" w:sz="0" w:space="0" w:color="auto"/>
            <w:bottom w:val="none" w:sz="0" w:space="0" w:color="auto"/>
            <w:right w:val="none" w:sz="0" w:space="0" w:color="auto"/>
          </w:divBdr>
          <w:divsChild>
            <w:div w:id="208343474">
              <w:marLeft w:val="0"/>
              <w:marRight w:val="0"/>
              <w:marTop w:val="0"/>
              <w:marBottom w:val="225"/>
              <w:divBdr>
                <w:top w:val="none" w:sz="0" w:space="0" w:color="auto"/>
                <w:left w:val="none" w:sz="0" w:space="0" w:color="auto"/>
                <w:bottom w:val="none" w:sz="0" w:space="0" w:color="auto"/>
                <w:right w:val="none" w:sz="0" w:space="0" w:color="auto"/>
              </w:divBdr>
            </w:div>
            <w:div w:id="1596592571">
              <w:marLeft w:val="0"/>
              <w:marRight w:val="0"/>
              <w:marTop w:val="0"/>
              <w:marBottom w:val="225"/>
              <w:divBdr>
                <w:top w:val="none" w:sz="0" w:space="0" w:color="auto"/>
                <w:left w:val="none" w:sz="0" w:space="0" w:color="auto"/>
                <w:bottom w:val="none" w:sz="0" w:space="0" w:color="auto"/>
                <w:right w:val="none" w:sz="0" w:space="0" w:color="auto"/>
              </w:divBdr>
            </w:div>
          </w:divsChild>
        </w:div>
        <w:div w:id="1360207420">
          <w:marLeft w:val="-225"/>
          <w:marRight w:val="-225"/>
          <w:marTop w:val="0"/>
          <w:marBottom w:val="0"/>
          <w:divBdr>
            <w:top w:val="none" w:sz="0" w:space="0" w:color="auto"/>
            <w:left w:val="none" w:sz="0" w:space="0" w:color="auto"/>
            <w:bottom w:val="none" w:sz="0" w:space="0" w:color="auto"/>
            <w:right w:val="none" w:sz="0" w:space="0" w:color="auto"/>
          </w:divBdr>
          <w:divsChild>
            <w:div w:id="806704276">
              <w:marLeft w:val="0"/>
              <w:marRight w:val="0"/>
              <w:marTop w:val="0"/>
              <w:marBottom w:val="225"/>
              <w:divBdr>
                <w:top w:val="none" w:sz="0" w:space="0" w:color="auto"/>
                <w:left w:val="none" w:sz="0" w:space="0" w:color="auto"/>
                <w:bottom w:val="none" w:sz="0" w:space="0" w:color="auto"/>
                <w:right w:val="none" w:sz="0" w:space="0" w:color="auto"/>
              </w:divBdr>
            </w:div>
            <w:div w:id="875703358">
              <w:marLeft w:val="0"/>
              <w:marRight w:val="0"/>
              <w:marTop w:val="0"/>
              <w:marBottom w:val="0"/>
              <w:divBdr>
                <w:top w:val="none" w:sz="0" w:space="0" w:color="auto"/>
                <w:left w:val="none" w:sz="0" w:space="0" w:color="auto"/>
                <w:bottom w:val="none" w:sz="0" w:space="0" w:color="auto"/>
                <w:right w:val="none" w:sz="0" w:space="0" w:color="auto"/>
              </w:divBdr>
              <w:divsChild>
                <w:div w:id="1014067366">
                  <w:marLeft w:val="0"/>
                  <w:marRight w:val="0"/>
                  <w:marTop w:val="0"/>
                  <w:marBottom w:val="0"/>
                  <w:divBdr>
                    <w:top w:val="none" w:sz="0" w:space="0" w:color="auto"/>
                    <w:left w:val="none" w:sz="0" w:space="0" w:color="auto"/>
                    <w:bottom w:val="none" w:sz="0" w:space="0" w:color="auto"/>
                    <w:right w:val="none" w:sz="0" w:space="0" w:color="auto"/>
                  </w:divBdr>
                </w:div>
                <w:div w:id="13705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1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s>
</file>

<file path=word/_rels/footnotes.xml.rels><?xml version="1.0" encoding="UTF-8" standalone="yes"?>
<Relationships xmlns="http://schemas.openxmlformats.org/package/2006/relationships"><Relationship Id="rId2" Type="http://schemas.openxmlformats.org/officeDocument/2006/relationships/hyperlink" Target="http://www.istruzione.it/snv/index.shtml" TargetMode="External"/><Relationship Id="rId1" Type="http://schemas.openxmlformats.org/officeDocument/2006/relationships/hyperlink" Target="http://www.indire.it/2016/10/19/bonus-per-la-valorizzazione-dei-docenti-documentare-le-buone-pratich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PC_20_luglio_2016\documenti\Torelli%20stranieri\merit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PC_20_luglio_2016\documenti\Torelli%20stranieri\merit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PC_20_luglio_2016\documenti\Torelli%20stranieri\merit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PC_20_luglio_2016\documenti\Torelli%20stranieri\merit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PC_20_luglio_2016\documenti\Torelli%20stranieri\merit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PC_20_luglio_2016\documenti\Torelli%20stranieri\merit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Users\mi13710\Documents\SNV\a.s.2016-17\VALORIZZAZIONE%20DOCENTI\CRITERI_VALORIZZAZIONE_DEL_MERITO(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Users\mi13710\Documents\SNV\a.s.2016-17\VALORIZZAZIONE%20DOCENTI\CRITERI_VALORIZZAZIONE_DEL_MERITO(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Users\mi13710\Documents\SNV\a.s.2016-17\VALORIZZAZIONE%20DOCENTI\CRITERI_VALORIZZAZIONE_DEL_MERITO(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Cartel1"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Users\mi13710\Documents\SNV\a.s.2016-17\VALORIZZAZIONE%20DOCENTI\CRITERI_VALORIZZAZIONE_DEL_MERITO(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PC_20_luglio_2016\documenti\Torelli%20stranieri\merito.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Users\mi13710\Documents\SNV\a.s.2016-17\VALORIZZAZIONE%20DOCENTI\CRITERI_VALORIZZAZIONE_DEL_MERITO(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Users\mi13710\Documents\SNV\a.s.2016-17\VALORIZZAZIONE%20DOCENTI\CRITERI_VALORIZZAZIONE_DEL_MERITO(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Users\mi13710\Documents\SNV\a.s.2016-17\VALORIZZAZIONE%20DOCENTI\CRITERI_VALORIZZAZIONE_DEL_MERITO(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PC_20_luglio_2016\documenti\Torelli%20stranieri\merit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PC_20_luglio_2016\documenti\Torelli%20stranieri\merit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PC_20_luglio_2016\documenti\Torelli%20stranieri\merit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PC_20_luglio_2016\documenti\Torelli%20stranieri\merit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PC_20_luglio_2016\documenti\Torelli%20stranieri\merit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PC_20_luglio_2016\documenti\Torelli%20stranieri\merit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PC_20_luglio_2016\documenti\Torelli%20stranieri\merit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lumMod val="60000"/>
                <a:lumOff val="40000"/>
              </a:schemeClr>
            </a:solidFill>
          </c:spPr>
          <c:invertIfNegative val="0"/>
          <c:dPt>
            <c:idx val="0"/>
            <c:invertIfNegative val="0"/>
            <c:bubble3D val="0"/>
            <c:spPr>
              <a:solidFill>
                <a:srgbClr val="C00000"/>
              </a:solidFill>
            </c:spPr>
          </c:dPt>
          <c:dPt>
            <c:idx val="1"/>
            <c:invertIfNegative val="0"/>
            <c:bubble3D val="0"/>
            <c:spPr>
              <a:solidFill>
                <a:schemeClr val="accent1"/>
              </a:solidFill>
            </c:spPr>
          </c:dPt>
          <c:dPt>
            <c:idx val="2"/>
            <c:invertIfNegative val="0"/>
            <c:bubble3D val="0"/>
            <c:spPr>
              <a:solidFill>
                <a:schemeClr val="accent6"/>
              </a:solidFill>
            </c:spPr>
          </c:dPt>
          <c:cat>
            <c:strRef>
              <c:f>Foglio1!$A$3:$A$5</c:f>
              <c:strCache>
                <c:ptCount val="3"/>
                <c:pt idx="0">
                  <c:v>globale </c:v>
                </c:pt>
                <c:pt idx="1">
                  <c:v>I ciclo</c:v>
                </c:pt>
                <c:pt idx="2">
                  <c:v>II ciclo</c:v>
                </c:pt>
              </c:strCache>
            </c:strRef>
          </c:cat>
          <c:val>
            <c:numRef>
              <c:f>Foglio1!$B$3:$B$5</c:f>
              <c:numCache>
                <c:formatCode>General</c:formatCode>
                <c:ptCount val="3"/>
                <c:pt idx="0">
                  <c:v>14.8</c:v>
                </c:pt>
                <c:pt idx="1">
                  <c:v>13.2</c:v>
                </c:pt>
                <c:pt idx="2">
                  <c:v>1.8</c:v>
                </c:pt>
              </c:numCache>
            </c:numRef>
          </c:val>
        </c:ser>
        <c:dLbls>
          <c:showLegendKey val="0"/>
          <c:showVal val="1"/>
          <c:showCatName val="0"/>
          <c:showSerName val="0"/>
          <c:showPercent val="0"/>
          <c:showBubbleSize val="0"/>
        </c:dLbls>
        <c:gapWidth val="150"/>
        <c:overlap val="-25"/>
        <c:axId val="150659456"/>
        <c:axId val="150660992"/>
      </c:barChart>
      <c:catAx>
        <c:axId val="150659456"/>
        <c:scaling>
          <c:orientation val="minMax"/>
        </c:scaling>
        <c:delete val="0"/>
        <c:axPos val="b"/>
        <c:majorTickMark val="none"/>
        <c:minorTickMark val="none"/>
        <c:tickLblPos val="nextTo"/>
        <c:crossAx val="150660992"/>
        <c:crosses val="autoZero"/>
        <c:auto val="1"/>
        <c:lblAlgn val="ctr"/>
        <c:lblOffset val="100"/>
        <c:noMultiLvlLbl val="0"/>
      </c:catAx>
      <c:valAx>
        <c:axId val="150660992"/>
        <c:scaling>
          <c:orientation val="minMax"/>
        </c:scaling>
        <c:delete val="1"/>
        <c:axPos val="l"/>
        <c:numFmt formatCode="General" sourceLinked="1"/>
        <c:majorTickMark val="none"/>
        <c:minorTickMark val="none"/>
        <c:tickLblPos val="none"/>
        <c:crossAx val="150659456"/>
        <c:crosses val="autoZero"/>
        <c:crossBetween val="between"/>
      </c:valAx>
    </c:plotArea>
    <c:plotVisOnly val="1"/>
    <c:dispBlanksAs val="gap"/>
    <c:showDLblsOverMax val="0"/>
  </c:chart>
  <c:txPr>
    <a:bodyPr/>
    <a:lstStyle/>
    <a:p>
      <a:pPr>
        <a:defRPr sz="800"/>
      </a:pPr>
      <a:endParaRPr lang="it-I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5">
                <a:lumMod val="40000"/>
                <a:lumOff val="60000"/>
              </a:schemeClr>
            </a:solidFill>
          </c:spPr>
          <c:invertIfNegative val="0"/>
          <c:cat>
            <c:strRef>
              <c:f>Foglio1!$B$308:$B$309</c:f>
              <c:strCache>
                <c:ptCount val="2"/>
                <c:pt idx="0">
                  <c:v>sì</c:v>
                </c:pt>
                <c:pt idx="1">
                  <c:v>no</c:v>
                </c:pt>
              </c:strCache>
            </c:strRef>
          </c:cat>
          <c:val>
            <c:numRef>
              <c:f>Foglio1!$C$308:$C$309</c:f>
              <c:numCache>
                <c:formatCode>General</c:formatCode>
                <c:ptCount val="2"/>
                <c:pt idx="0">
                  <c:v>94</c:v>
                </c:pt>
                <c:pt idx="1">
                  <c:v>6</c:v>
                </c:pt>
              </c:numCache>
            </c:numRef>
          </c:val>
        </c:ser>
        <c:dLbls>
          <c:showLegendKey val="0"/>
          <c:showVal val="1"/>
          <c:showCatName val="0"/>
          <c:showSerName val="0"/>
          <c:showPercent val="0"/>
          <c:showBubbleSize val="0"/>
        </c:dLbls>
        <c:gapWidth val="150"/>
        <c:overlap val="-25"/>
        <c:axId val="152332544"/>
        <c:axId val="152346624"/>
      </c:barChart>
      <c:catAx>
        <c:axId val="152332544"/>
        <c:scaling>
          <c:orientation val="minMax"/>
        </c:scaling>
        <c:delete val="0"/>
        <c:axPos val="b"/>
        <c:majorTickMark val="none"/>
        <c:minorTickMark val="none"/>
        <c:tickLblPos val="nextTo"/>
        <c:crossAx val="152346624"/>
        <c:crosses val="autoZero"/>
        <c:auto val="1"/>
        <c:lblAlgn val="ctr"/>
        <c:lblOffset val="100"/>
        <c:noMultiLvlLbl val="0"/>
      </c:catAx>
      <c:valAx>
        <c:axId val="152346624"/>
        <c:scaling>
          <c:orientation val="minMax"/>
        </c:scaling>
        <c:delete val="1"/>
        <c:axPos val="l"/>
        <c:numFmt formatCode="General" sourceLinked="1"/>
        <c:majorTickMark val="none"/>
        <c:minorTickMark val="none"/>
        <c:tickLblPos val="none"/>
        <c:crossAx val="152332544"/>
        <c:crosses val="autoZero"/>
        <c:crossBetween val="between"/>
      </c:valAx>
    </c:plotArea>
    <c:plotVisOnly val="1"/>
    <c:dispBlanksAs val="gap"/>
    <c:showDLblsOverMax val="0"/>
  </c:chart>
  <c:txPr>
    <a:bodyPr/>
    <a:lstStyle/>
    <a:p>
      <a:pPr>
        <a:defRPr sz="800"/>
      </a:pPr>
      <a:endParaRPr lang="it-I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5">
                <a:lumMod val="40000"/>
                <a:lumOff val="60000"/>
              </a:schemeClr>
            </a:solidFill>
          </c:spPr>
          <c:invertIfNegative val="0"/>
          <c:cat>
            <c:strRef>
              <c:f>Foglio1!$B$323:$B$326</c:f>
              <c:strCache>
                <c:ptCount val="4"/>
                <c:pt idx="0">
                  <c:v>autodichiarazione</c:v>
                </c:pt>
                <c:pt idx="1">
                  <c:v>dossier</c:v>
                </c:pt>
                <c:pt idx="2">
                  <c:v>documenti della scuola</c:v>
                </c:pt>
                <c:pt idx="3">
                  <c:v>valutazione da parte dell'utenza</c:v>
                </c:pt>
              </c:strCache>
            </c:strRef>
          </c:cat>
          <c:val>
            <c:numRef>
              <c:f>Foglio1!$C$323:$C$326</c:f>
              <c:numCache>
                <c:formatCode>General</c:formatCode>
                <c:ptCount val="4"/>
                <c:pt idx="0">
                  <c:v>82.2</c:v>
                </c:pt>
                <c:pt idx="1">
                  <c:v>28.8</c:v>
                </c:pt>
                <c:pt idx="2">
                  <c:v>22.8</c:v>
                </c:pt>
                <c:pt idx="3">
                  <c:v>3.4</c:v>
                </c:pt>
              </c:numCache>
            </c:numRef>
          </c:val>
        </c:ser>
        <c:dLbls>
          <c:showLegendKey val="0"/>
          <c:showVal val="1"/>
          <c:showCatName val="0"/>
          <c:showSerName val="0"/>
          <c:showPercent val="0"/>
          <c:showBubbleSize val="0"/>
        </c:dLbls>
        <c:gapWidth val="150"/>
        <c:overlap val="-25"/>
        <c:axId val="154038272"/>
        <c:axId val="154039808"/>
      </c:barChart>
      <c:catAx>
        <c:axId val="154038272"/>
        <c:scaling>
          <c:orientation val="minMax"/>
        </c:scaling>
        <c:delete val="0"/>
        <c:axPos val="b"/>
        <c:majorTickMark val="none"/>
        <c:minorTickMark val="none"/>
        <c:tickLblPos val="nextTo"/>
        <c:crossAx val="154039808"/>
        <c:crosses val="autoZero"/>
        <c:auto val="1"/>
        <c:lblAlgn val="ctr"/>
        <c:lblOffset val="100"/>
        <c:noMultiLvlLbl val="0"/>
      </c:catAx>
      <c:valAx>
        <c:axId val="154039808"/>
        <c:scaling>
          <c:orientation val="minMax"/>
        </c:scaling>
        <c:delete val="1"/>
        <c:axPos val="l"/>
        <c:numFmt formatCode="General" sourceLinked="1"/>
        <c:majorTickMark val="out"/>
        <c:minorTickMark val="none"/>
        <c:tickLblPos val="none"/>
        <c:crossAx val="154038272"/>
        <c:crosses val="autoZero"/>
        <c:crossBetween val="between"/>
      </c:valAx>
    </c:plotArea>
    <c:plotVisOnly val="1"/>
    <c:dispBlanksAs val="gap"/>
    <c:showDLblsOverMax val="0"/>
  </c:chart>
  <c:txPr>
    <a:bodyPr/>
    <a:lstStyle/>
    <a:p>
      <a:pPr>
        <a:defRPr sz="800"/>
      </a:pPr>
      <a:endParaRPr lang="it-IT"/>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5">
                <a:lumMod val="40000"/>
                <a:lumOff val="60000"/>
              </a:schemeClr>
            </a:solidFill>
          </c:spPr>
          <c:invertIfNegative val="0"/>
          <c:cat>
            <c:strRef>
              <c:f>Foglio1!$B$374:$B$376</c:f>
              <c:strCache>
                <c:ptCount val="3"/>
                <c:pt idx="0">
                  <c:v>singole comunicazioni</c:v>
                </c:pt>
                <c:pt idx="1">
                  <c:v>comunicazione comune</c:v>
                </c:pt>
                <c:pt idx="2">
                  <c:v>comunicazione pubblica</c:v>
                </c:pt>
              </c:strCache>
            </c:strRef>
          </c:cat>
          <c:val>
            <c:numRef>
              <c:f>Foglio1!$C$374:$C$376</c:f>
              <c:numCache>
                <c:formatCode>General</c:formatCode>
                <c:ptCount val="3"/>
                <c:pt idx="0">
                  <c:v>69.400000000000006</c:v>
                </c:pt>
                <c:pt idx="1">
                  <c:v>27.9</c:v>
                </c:pt>
                <c:pt idx="2">
                  <c:v>55</c:v>
                </c:pt>
              </c:numCache>
            </c:numRef>
          </c:val>
        </c:ser>
        <c:dLbls>
          <c:showLegendKey val="0"/>
          <c:showVal val="1"/>
          <c:showCatName val="0"/>
          <c:showSerName val="0"/>
          <c:showPercent val="0"/>
          <c:showBubbleSize val="0"/>
        </c:dLbls>
        <c:gapWidth val="150"/>
        <c:overlap val="-25"/>
        <c:axId val="154056192"/>
        <c:axId val="154057728"/>
      </c:barChart>
      <c:catAx>
        <c:axId val="154056192"/>
        <c:scaling>
          <c:orientation val="minMax"/>
        </c:scaling>
        <c:delete val="0"/>
        <c:axPos val="b"/>
        <c:majorTickMark val="none"/>
        <c:minorTickMark val="none"/>
        <c:tickLblPos val="nextTo"/>
        <c:crossAx val="154057728"/>
        <c:crosses val="autoZero"/>
        <c:auto val="1"/>
        <c:lblAlgn val="ctr"/>
        <c:lblOffset val="100"/>
        <c:noMultiLvlLbl val="0"/>
      </c:catAx>
      <c:valAx>
        <c:axId val="154057728"/>
        <c:scaling>
          <c:orientation val="minMax"/>
        </c:scaling>
        <c:delete val="1"/>
        <c:axPos val="l"/>
        <c:numFmt formatCode="General" sourceLinked="1"/>
        <c:majorTickMark val="out"/>
        <c:minorTickMark val="none"/>
        <c:tickLblPos val="none"/>
        <c:crossAx val="154056192"/>
        <c:crosses val="autoZero"/>
        <c:crossBetween val="between"/>
      </c:valAx>
    </c:plotArea>
    <c:plotVisOnly val="1"/>
    <c:dispBlanksAs val="gap"/>
    <c:showDLblsOverMax val="0"/>
  </c:chart>
  <c:txPr>
    <a:bodyPr/>
    <a:lstStyle/>
    <a:p>
      <a:pPr>
        <a:defRPr sz="800"/>
      </a:pPr>
      <a:endParaRPr lang="it-IT"/>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Foglio1!$C$383</c:f>
              <c:strCache>
                <c:ptCount val="1"/>
                <c:pt idx="0">
                  <c:v>I ciclo</c:v>
                </c:pt>
              </c:strCache>
            </c:strRef>
          </c:tx>
          <c:invertIfNegative val="0"/>
          <c:cat>
            <c:strRef>
              <c:f>Foglio1!$B$384:$B$386</c:f>
              <c:strCache>
                <c:ptCount val="3"/>
                <c:pt idx="0">
                  <c:v>singole comunicazioni</c:v>
                </c:pt>
                <c:pt idx="1">
                  <c:v>comunicazione comune</c:v>
                </c:pt>
                <c:pt idx="2">
                  <c:v>comunicazione pubblica</c:v>
                </c:pt>
              </c:strCache>
            </c:strRef>
          </c:cat>
          <c:val>
            <c:numRef>
              <c:f>Foglio1!$C$384:$C$386</c:f>
              <c:numCache>
                <c:formatCode>General</c:formatCode>
                <c:ptCount val="3"/>
                <c:pt idx="0">
                  <c:v>64.099999999999994</c:v>
                </c:pt>
                <c:pt idx="1">
                  <c:v>34.6</c:v>
                </c:pt>
                <c:pt idx="2">
                  <c:v>58</c:v>
                </c:pt>
              </c:numCache>
            </c:numRef>
          </c:val>
        </c:ser>
        <c:ser>
          <c:idx val="1"/>
          <c:order val="1"/>
          <c:tx>
            <c:strRef>
              <c:f>Foglio1!$D$383</c:f>
              <c:strCache>
                <c:ptCount val="1"/>
                <c:pt idx="0">
                  <c:v>II ciclo</c:v>
                </c:pt>
              </c:strCache>
            </c:strRef>
          </c:tx>
          <c:spPr>
            <a:solidFill>
              <a:schemeClr val="accent6"/>
            </a:solidFill>
          </c:spPr>
          <c:invertIfNegative val="0"/>
          <c:cat>
            <c:strRef>
              <c:f>Foglio1!$B$384:$B$386</c:f>
              <c:strCache>
                <c:ptCount val="3"/>
                <c:pt idx="0">
                  <c:v>singole comunicazioni</c:v>
                </c:pt>
                <c:pt idx="1">
                  <c:v>comunicazione comune</c:v>
                </c:pt>
                <c:pt idx="2">
                  <c:v>comunicazione pubblica</c:v>
                </c:pt>
              </c:strCache>
            </c:strRef>
          </c:cat>
          <c:val>
            <c:numRef>
              <c:f>Foglio1!$D$384:$D$386</c:f>
              <c:numCache>
                <c:formatCode>General</c:formatCode>
                <c:ptCount val="3"/>
                <c:pt idx="0">
                  <c:v>81</c:v>
                </c:pt>
                <c:pt idx="1">
                  <c:v>16.2</c:v>
                </c:pt>
                <c:pt idx="2">
                  <c:v>48.6</c:v>
                </c:pt>
              </c:numCache>
            </c:numRef>
          </c:val>
        </c:ser>
        <c:dLbls>
          <c:showLegendKey val="0"/>
          <c:showVal val="1"/>
          <c:showCatName val="0"/>
          <c:showSerName val="0"/>
          <c:showPercent val="0"/>
          <c:showBubbleSize val="0"/>
        </c:dLbls>
        <c:gapWidth val="150"/>
        <c:overlap val="-25"/>
        <c:axId val="78016896"/>
        <c:axId val="78018432"/>
      </c:barChart>
      <c:catAx>
        <c:axId val="78016896"/>
        <c:scaling>
          <c:orientation val="minMax"/>
        </c:scaling>
        <c:delete val="0"/>
        <c:axPos val="b"/>
        <c:majorTickMark val="none"/>
        <c:minorTickMark val="none"/>
        <c:tickLblPos val="nextTo"/>
        <c:crossAx val="78018432"/>
        <c:crosses val="autoZero"/>
        <c:auto val="1"/>
        <c:lblAlgn val="ctr"/>
        <c:lblOffset val="100"/>
        <c:noMultiLvlLbl val="0"/>
      </c:catAx>
      <c:valAx>
        <c:axId val="78018432"/>
        <c:scaling>
          <c:orientation val="minMax"/>
        </c:scaling>
        <c:delete val="1"/>
        <c:axPos val="l"/>
        <c:numFmt formatCode="General" sourceLinked="1"/>
        <c:majorTickMark val="out"/>
        <c:minorTickMark val="none"/>
        <c:tickLblPos val="none"/>
        <c:crossAx val="78016896"/>
        <c:crosses val="autoZero"/>
        <c:crossBetween val="between"/>
      </c:valAx>
    </c:plotArea>
    <c:legend>
      <c:legendPos val="t"/>
      <c:overlay val="0"/>
    </c:legend>
    <c:plotVisOnly val="1"/>
    <c:dispBlanksAs val="gap"/>
    <c:showDLblsOverMax val="0"/>
  </c:chart>
  <c:txPr>
    <a:bodyPr/>
    <a:lstStyle/>
    <a:p>
      <a:pPr>
        <a:defRPr sz="800"/>
      </a:pPr>
      <a:endParaRPr lang="it-IT"/>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Pt>
            <c:idx val="1"/>
            <c:bubble3D val="0"/>
            <c:spPr>
              <a:solidFill>
                <a:schemeClr val="accent6"/>
              </a:solidFill>
            </c:spPr>
          </c:dPt>
          <c:dLbls>
            <c:dLbl>
              <c:idx val="0"/>
              <c:layout>
                <c:manualLayout>
                  <c:x val="4.1975284339457554E-2"/>
                  <c:y val="-1.7785797608632262E-2"/>
                </c:manualLayout>
              </c:layout>
              <c:showLegendKey val="0"/>
              <c:showVal val="0"/>
              <c:showCatName val="0"/>
              <c:showSerName val="0"/>
              <c:showPercent val="1"/>
              <c:showBubbleSize val="0"/>
            </c:dLbl>
            <c:dLbl>
              <c:idx val="1"/>
              <c:layout>
                <c:manualLayout>
                  <c:x val="-2.3937007874015766E-3"/>
                  <c:y val="-9.8546223388743123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Foglio1!$B$425:$B$426</c:f>
              <c:strCache>
                <c:ptCount val="2"/>
                <c:pt idx="0">
                  <c:v>I ciclo</c:v>
                </c:pt>
                <c:pt idx="1">
                  <c:v>II ciclo</c:v>
                </c:pt>
              </c:strCache>
            </c:strRef>
          </c:cat>
          <c:val>
            <c:numRef>
              <c:f>Foglio1!$C$425:$C$426</c:f>
              <c:numCache>
                <c:formatCode>General</c:formatCode>
                <c:ptCount val="2"/>
                <c:pt idx="0">
                  <c:v>37</c:v>
                </c:pt>
                <c:pt idx="1">
                  <c:v>23</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zero"/>
    <c:showDLblsOverMax val="0"/>
  </c:chart>
  <c:txPr>
    <a:bodyPr/>
    <a:lstStyle/>
    <a:p>
      <a:pPr>
        <a:defRPr sz="800"/>
      </a:pPr>
      <a:endParaRPr lang="it-IT"/>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Foglio6!$B$1</c:f>
              <c:strCache>
                <c:ptCount val="1"/>
                <c:pt idx="0">
                  <c:v>Globale</c:v>
                </c:pt>
              </c:strCache>
            </c:strRef>
          </c:tx>
          <c:spPr>
            <a:solidFill>
              <a:schemeClr val="accent3"/>
            </a:solidFill>
          </c:spPr>
          <c:invertIfNegative val="0"/>
          <c:cat>
            <c:strRef>
              <c:f>Foglio6!$A$2:$A$6</c:f>
              <c:strCache>
                <c:ptCount val="5"/>
                <c:pt idx="0">
                  <c:v>elaborazione PTOF,RAV,PDM</c:v>
                </c:pt>
                <c:pt idx="1">
                  <c:v>partecipazione a gruppi di lavoro per progetti o in rete</c:v>
                </c:pt>
                <c:pt idx="2">
                  <c:v>rapporti con gli EELL</c:v>
                </c:pt>
                <c:pt idx="3">
                  <c:v>partecipazione a gare, concorsi, eventi</c:v>
                </c:pt>
                <c:pt idx="4">
                  <c:v>formazione personale del docente</c:v>
                </c:pt>
              </c:strCache>
            </c:strRef>
          </c:cat>
          <c:val>
            <c:numRef>
              <c:f>Foglio6!$B$2:$B$6</c:f>
              <c:numCache>
                <c:formatCode>General</c:formatCode>
                <c:ptCount val="5"/>
                <c:pt idx="0">
                  <c:v>74.5</c:v>
                </c:pt>
                <c:pt idx="1">
                  <c:v>57.3</c:v>
                </c:pt>
                <c:pt idx="2">
                  <c:v>23</c:v>
                </c:pt>
                <c:pt idx="3">
                  <c:v>54</c:v>
                </c:pt>
                <c:pt idx="4">
                  <c:v>76.2</c:v>
                </c:pt>
              </c:numCache>
            </c:numRef>
          </c:val>
        </c:ser>
        <c:ser>
          <c:idx val="1"/>
          <c:order val="1"/>
          <c:tx>
            <c:strRef>
              <c:f>Foglio6!$C$1</c:f>
              <c:strCache>
                <c:ptCount val="1"/>
                <c:pt idx="0">
                  <c:v>I ciclo</c:v>
                </c:pt>
              </c:strCache>
            </c:strRef>
          </c:tx>
          <c:spPr>
            <a:solidFill>
              <a:schemeClr val="tx2">
                <a:lumMod val="60000"/>
                <a:lumOff val="40000"/>
              </a:schemeClr>
            </a:solidFill>
          </c:spPr>
          <c:invertIfNegative val="0"/>
          <c:cat>
            <c:strRef>
              <c:f>Foglio6!$A$2:$A$6</c:f>
              <c:strCache>
                <c:ptCount val="5"/>
                <c:pt idx="0">
                  <c:v>elaborazione PTOF,RAV,PDM</c:v>
                </c:pt>
                <c:pt idx="1">
                  <c:v>partecipazione a gruppi di lavoro per progetti o in rete</c:v>
                </c:pt>
                <c:pt idx="2">
                  <c:v>rapporti con gli EELL</c:v>
                </c:pt>
                <c:pt idx="3">
                  <c:v>partecipazione a gare, concorsi, eventi</c:v>
                </c:pt>
                <c:pt idx="4">
                  <c:v>formazione personale del docente</c:v>
                </c:pt>
              </c:strCache>
            </c:strRef>
          </c:cat>
          <c:val>
            <c:numRef>
              <c:f>Foglio6!$C$2:$C$6</c:f>
              <c:numCache>
                <c:formatCode>General</c:formatCode>
                <c:ptCount val="5"/>
                <c:pt idx="0">
                  <c:v>83.1</c:v>
                </c:pt>
                <c:pt idx="1">
                  <c:v>61.4</c:v>
                </c:pt>
                <c:pt idx="2">
                  <c:v>27.7</c:v>
                </c:pt>
                <c:pt idx="3">
                  <c:v>59</c:v>
                </c:pt>
                <c:pt idx="4">
                  <c:v>78.3</c:v>
                </c:pt>
              </c:numCache>
            </c:numRef>
          </c:val>
        </c:ser>
        <c:ser>
          <c:idx val="2"/>
          <c:order val="2"/>
          <c:tx>
            <c:strRef>
              <c:f>Foglio6!$D$1</c:f>
              <c:strCache>
                <c:ptCount val="1"/>
                <c:pt idx="0">
                  <c:v>II  ciclo</c:v>
                </c:pt>
              </c:strCache>
            </c:strRef>
          </c:tx>
          <c:spPr>
            <a:solidFill>
              <a:schemeClr val="accent6"/>
            </a:solidFill>
          </c:spPr>
          <c:invertIfNegative val="0"/>
          <c:cat>
            <c:strRef>
              <c:f>Foglio6!$A$2:$A$6</c:f>
              <c:strCache>
                <c:ptCount val="5"/>
                <c:pt idx="0">
                  <c:v>elaborazione PTOF,RAV,PDM</c:v>
                </c:pt>
                <c:pt idx="1">
                  <c:v>partecipazione a gruppi di lavoro per progetti o in rete</c:v>
                </c:pt>
                <c:pt idx="2">
                  <c:v>rapporti con gli EELL</c:v>
                </c:pt>
                <c:pt idx="3">
                  <c:v>partecipazione a gare, concorsi, eventi</c:v>
                </c:pt>
                <c:pt idx="4">
                  <c:v>formazione personale del docente</c:v>
                </c:pt>
              </c:strCache>
            </c:strRef>
          </c:cat>
          <c:val>
            <c:numRef>
              <c:f>Foglio6!$D$2:$D$6</c:f>
              <c:numCache>
                <c:formatCode>General</c:formatCode>
                <c:ptCount val="5"/>
                <c:pt idx="0">
                  <c:v>56.4</c:v>
                </c:pt>
                <c:pt idx="1">
                  <c:v>48.7</c:v>
                </c:pt>
                <c:pt idx="2">
                  <c:v>15.3</c:v>
                </c:pt>
                <c:pt idx="3">
                  <c:v>43.5</c:v>
                </c:pt>
                <c:pt idx="4">
                  <c:v>71.7</c:v>
                </c:pt>
              </c:numCache>
            </c:numRef>
          </c:val>
        </c:ser>
        <c:dLbls>
          <c:showLegendKey val="0"/>
          <c:showVal val="1"/>
          <c:showCatName val="0"/>
          <c:showSerName val="0"/>
          <c:showPercent val="0"/>
          <c:showBubbleSize val="0"/>
        </c:dLbls>
        <c:gapWidth val="150"/>
        <c:overlap val="-25"/>
        <c:axId val="73162112"/>
        <c:axId val="73168000"/>
      </c:barChart>
      <c:catAx>
        <c:axId val="73162112"/>
        <c:scaling>
          <c:orientation val="minMax"/>
        </c:scaling>
        <c:delete val="0"/>
        <c:axPos val="b"/>
        <c:majorTickMark val="none"/>
        <c:minorTickMark val="none"/>
        <c:tickLblPos val="nextTo"/>
        <c:crossAx val="73168000"/>
        <c:crosses val="autoZero"/>
        <c:auto val="1"/>
        <c:lblAlgn val="ctr"/>
        <c:lblOffset val="100"/>
        <c:noMultiLvlLbl val="0"/>
      </c:catAx>
      <c:valAx>
        <c:axId val="73168000"/>
        <c:scaling>
          <c:orientation val="minMax"/>
        </c:scaling>
        <c:delete val="1"/>
        <c:axPos val="l"/>
        <c:numFmt formatCode="General" sourceLinked="1"/>
        <c:majorTickMark val="out"/>
        <c:minorTickMark val="none"/>
        <c:tickLblPos val="nextTo"/>
        <c:crossAx val="73162112"/>
        <c:crosses val="autoZero"/>
        <c:crossBetween val="between"/>
      </c:valAx>
    </c:plotArea>
    <c:legend>
      <c:legendPos val="t"/>
      <c:overlay val="0"/>
    </c:legend>
    <c:plotVisOnly val="1"/>
    <c:dispBlanksAs val="gap"/>
    <c:showDLblsOverMax val="0"/>
  </c:chart>
  <c:txPr>
    <a:bodyPr/>
    <a:lstStyle/>
    <a:p>
      <a:pPr>
        <a:defRPr sz="800"/>
      </a:pPr>
      <a:endParaRPr lang="it-IT"/>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Foglio6!$A$10</c:f>
              <c:strCache>
                <c:ptCount val="1"/>
                <c:pt idx="0">
                  <c:v>ampliamento offerta formativa</c:v>
                </c:pt>
              </c:strCache>
            </c:strRef>
          </c:tx>
          <c:spPr>
            <a:solidFill>
              <a:schemeClr val="accent5">
                <a:lumMod val="60000"/>
                <a:lumOff val="40000"/>
              </a:schemeClr>
            </a:solidFill>
          </c:spPr>
          <c:invertIfNegative val="0"/>
          <c:cat>
            <c:strRef>
              <c:f>Foglio6!$B$9:$D$9</c:f>
              <c:strCache>
                <c:ptCount val="3"/>
                <c:pt idx="0">
                  <c:v>Globale</c:v>
                </c:pt>
                <c:pt idx="1">
                  <c:v>I ciclo</c:v>
                </c:pt>
                <c:pt idx="2">
                  <c:v>II  ciclo</c:v>
                </c:pt>
              </c:strCache>
            </c:strRef>
          </c:cat>
          <c:val>
            <c:numRef>
              <c:f>Foglio6!$B$10:$D$10</c:f>
              <c:numCache>
                <c:formatCode>General</c:formatCode>
                <c:ptCount val="3"/>
                <c:pt idx="0">
                  <c:v>55.7</c:v>
                </c:pt>
                <c:pt idx="1">
                  <c:v>57.8</c:v>
                </c:pt>
                <c:pt idx="2">
                  <c:v>51.2</c:v>
                </c:pt>
              </c:numCache>
            </c:numRef>
          </c:val>
        </c:ser>
        <c:ser>
          <c:idx val="1"/>
          <c:order val="1"/>
          <c:tx>
            <c:strRef>
              <c:f>Foglio6!$A$11</c:f>
              <c:strCache>
                <c:ptCount val="1"/>
                <c:pt idx="0">
                  <c:v>predisposizione prove comuni/compiti autentici</c:v>
                </c:pt>
              </c:strCache>
            </c:strRef>
          </c:tx>
          <c:spPr>
            <a:solidFill>
              <a:schemeClr val="accent3">
                <a:lumMod val="60000"/>
                <a:lumOff val="40000"/>
              </a:schemeClr>
            </a:solidFill>
          </c:spPr>
          <c:invertIfNegative val="0"/>
          <c:cat>
            <c:strRef>
              <c:f>Foglio6!$B$9:$D$9</c:f>
              <c:strCache>
                <c:ptCount val="3"/>
                <c:pt idx="0">
                  <c:v>Globale</c:v>
                </c:pt>
                <c:pt idx="1">
                  <c:v>I ciclo</c:v>
                </c:pt>
                <c:pt idx="2">
                  <c:v>II  ciclo</c:v>
                </c:pt>
              </c:strCache>
            </c:strRef>
          </c:cat>
          <c:val>
            <c:numRef>
              <c:f>Foglio6!$B$11:$D$11</c:f>
              <c:numCache>
                <c:formatCode>General</c:formatCode>
                <c:ptCount val="3"/>
                <c:pt idx="0">
                  <c:v>24.6</c:v>
                </c:pt>
                <c:pt idx="1">
                  <c:v>26.5</c:v>
                </c:pt>
                <c:pt idx="2">
                  <c:v>20.5</c:v>
                </c:pt>
              </c:numCache>
            </c:numRef>
          </c:val>
        </c:ser>
        <c:ser>
          <c:idx val="2"/>
          <c:order val="2"/>
          <c:tx>
            <c:strRef>
              <c:f>Foglio6!$A$12</c:f>
              <c:strCache>
                <c:ptCount val="1"/>
                <c:pt idx="0">
                  <c:v>attività di inclusione</c:v>
                </c:pt>
              </c:strCache>
            </c:strRef>
          </c:tx>
          <c:spPr>
            <a:solidFill>
              <a:schemeClr val="accent2">
                <a:lumMod val="60000"/>
                <a:lumOff val="40000"/>
              </a:schemeClr>
            </a:solidFill>
          </c:spPr>
          <c:invertIfNegative val="0"/>
          <c:cat>
            <c:strRef>
              <c:f>Foglio6!$B$9:$D$9</c:f>
              <c:strCache>
                <c:ptCount val="3"/>
                <c:pt idx="0">
                  <c:v>Globale</c:v>
                </c:pt>
                <c:pt idx="1">
                  <c:v>I ciclo</c:v>
                </c:pt>
                <c:pt idx="2">
                  <c:v>II  ciclo</c:v>
                </c:pt>
              </c:strCache>
            </c:strRef>
          </c:cat>
          <c:val>
            <c:numRef>
              <c:f>Foglio6!$B$12:$D$12</c:f>
              <c:numCache>
                <c:formatCode>General</c:formatCode>
                <c:ptCount val="3"/>
                <c:pt idx="0">
                  <c:v>67.2</c:v>
                </c:pt>
                <c:pt idx="1">
                  <c:v>71.099999999999994</c:v>
                </c:pt>
                <c:pt idx="2">
                  <c:v>58.9</c:v>
                </c:pt>
              </c:numCache>
            </c:numRef>
          </c:val>
        </c:ser>
        <c:dLbls>
          <c:showLegendKey val="0"/>
          <c:showVal val="1"/>
          <c:showCatName val="0"/>
          <c:showSerName val="0"/>
          <c:showPercent val="0"/>
          <c:showBubbleSize val="0"/>
        </c:dLbls>
        <c:gapWidth val="150"/>
        <c:overlap val="-25"/>
        <c:axId val="78127104"/>
        <c:axId val="78128640"/>
      </c:barChart>
      <c:catAx>
        <c:axId val="78127104"/>
        <c:scaling>
          <c:orientation val="minMax"/>
        </c:scaling>
        <c:delete val="0"/>
        <c:axPos val="b"/>
        <c:majorTickMark val="none"/>
        <c:minorTickMark val="none"/>
        <c:tickLblPos val="nextTo"/>
        <c:crossAx val="78128640"/>
        <c:crosses val="autoZero"/>
        <c:auto val="1"/>
        <c:lblAlgn val="ctr"/>
        <c:lblOffset val="100"/>
        <c:noMultiLvlLbl val="0"/>
      </c:catAx>
      <c:valAx>
        <c:axId val="78128640"/>
        <c:scaling>
          <c:orientation val="minMax"/>
        </c:scaling>
        <c:delete val="1"/>
        <c:axPos val="l"/>
        <c:numFmt formatCode="General" sourceLinked="1"/>
        <c:majorTickMark val="out"/>
        <c:minorTickMark val="none"/>
        <c:tickLblPos val="nextTo"/>
        <c:crossAx val="78127104"/>
        <c:crosses val="autoZero"/>
        <c:crossBetween val="between"/>
      </c:valAx>
    </c:plotArea>
    <c:legend>
      <c:legendPos val="t"/>
      <c:overlay val="0"/>
    </c:legend>
    <c:plotVisOnly val="1"/>
    <c:dispBlanksAs val="gap"/>
    <c:showDLblsOverMax val="0"/>
  </c:chart>
  <c:txPr>
    <a:bodyPr/>
    <a:lstStyle/>
    <a:p>
      <a:pPr>
        <a:defRPr sz="800"/>
      </a:pPr>
      <a:endParaRPr lang="it-IT"/>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Foglio6!$B$26</c:f>
              <c:strCache>
                <c:ptCount val="1"/>
                <c:pt idx="0">
                  <c:v>Globale</c:v>
                </c:pt>
              </c:strCache>
            </c:strRef>
          </c:tx>
          <c:spPr>
            <a:solidFill>
              <a:schemeClr val="accent3"/>
            </a:solidFill>
          </c:spPr>
          <c:invertIfNegative val="0"/>
          <c:cat>
            <c:strRef>
              <c:f>Foglio6!$A$27:$A$30</c:f>
              <c:strCache>
                <c:ptCount val="4"/>
                <c:pt idx="0">
                  <c:v>personalizzazione</c:v>
                </c:pt>
                <c:pt idx="1">
                  <c:v>efficacia didattica</c:v>
                </c:pt>
                <c:pt idx="2">
                  <c:v>valutazione anche per competenze</c:v>
                </c:pt>
                <c:pt idx="3">
                  <c:v>rapporti con i genitori</c:v>
                </c:pt>
              </c:strCache>
            </c:strRef>
          </c:cat>
          <c:val>
            <c:numRef>
              <c:f>Foglio6!$B$27:$B$30</c:f>
              <c:numCache>
                <c:formatCode>General</c:formatCode>
                <c:ptCount val="4"/>
                <c:pt idx="0">
                  <c:v>53.3</c:v>
                </c:pt>
                <c:pt idx="1">
                  <c:v>59.1</c:v>
                </c:pt>
                <c:pt idx="2">
                  <c:v>29.5</c:v>
                </c:pt>
                <c:pt idx="3">
                  <c:v>30.3</c:v>
                </c:pt>
              </c:numCache>
            </c:numRef>
          </c:val>
        </c:ser>
        <c:ser>
          <c:idx val="1"/>
          <c:order val="1"/>
          <c:tx>
            <c:strRef>
              <c:f>Foglio6!$C$26</c:f>
              <c:strCache>
                <c:ptCount val="1"/>
                <c:pt idx="0">
                  <c:v>I ciclo</c:v>
                </c:pt>
              </c:strCache>
            </c:strRef>
          </c:tx>
          <c:spPr>
            <a:solidFill>
              <a:schemeClr val="tx2">
                <a:lumMod val="60000"/>
                <a:lumOff val="40000"/>
              </a:schemeClr>
            </a:solidFill>
          </c:spPr>
          <c:invertIfNegative val="0"/>
          <c:cat>
            <c:strRef>
              <c:f>Foglio6!$A$27:$A$30</c:f>
              <c:strCache>
                <c:ptCount val="4"/>
                <c:pt idx="0">
                  <c:v>personalizzazione</c:v>
                </c:pt>
                <c:pt idx="1">
                  <c:v>efficacia didattica</c:v>
                </c:pt>
                <c:pt idx="2">
                  <c:v>valutazione anche per competenze</c:v>
                </c:pt>
                <c:pt idx="3">
                  <c:v>rapporti con i genitori</c:v>
                </c:pt>
              </c:strCache>
            </c:strRef>
          </c:cat>
          <c:val>
            <c:numRef>
              <c:f>Foglio6!$C$27:$C$30</c:f>
              <c:numCache>
                <c:formatCode>General</c:formatCode>
                <c:ptCount val="4"/>
                <c:pt idx="0">
                  <c:v>55.4</c:v>
                </c:pt>
                <c:pt idx="1">
                  <c:v>62.6</c:v>
                </c:pt>
                <c:pt idx="2">
                  <c:v>33.700000000000003</c:v>
                </c:pt>
                <c:pt idx="3">
                  <c:v>30.1</c:v>
                </c:pt>
              </c:numCache>
            </c:numRef>
          </c:val>
        </c:ser>
        <c:ser>
          <c:idx val="2"/>
          <c:order val="2"/>
          <c:tx>
            <c:strRef>
              <c:f>Foglio6!$D$26</c:f>
              <c:strCache>
                <c:ptCount val="1"/>
                <c:pt idx="0">
                  <c:v>II  ciclo</c:v>
                </c:pt>
              </c:strCache>
            </c:strRef>
          </c:tx>
          <c:spPr>
            <a:solidFill>
              <a:schemeClr val="accent6"/>
            </a:solidFill>
          </c:spPr>
          <c:invertIfNegative val="0"/>
          <c:cat>
            <c:strRef>
              <c:f>Foglio6!$A$27:$A$30</c:f>
              <c:strCache>
                <c:ptCount val="4"/>
                <c:pt idx="0">
                  <c:v>personalizzazione</c:v>
                </c:pt>
                <c:pt idx="1">
                  <c:v>efficacia didattica</c:v>
                </c:pt>
                <c:pt idx="2">
                  <c:v>valutazione anche per competenze</c:v>
                </c:pt>
                <c:pt idx="3">
                  <c:v>rapporti con i genitori</c:v>
                </c:pt>
              </c:strCache>
            </c:strRef>
          </c:cat>
          <c:val>
            <c:numRef>
              <c:f>Foglio6!$D$27:$D$30</c:f>
              <c:numCache>
                <c:formatCode>General</c:formatCode>
                <c:ptCount val="4"/>
                <c:pt idx="0">
                  <c:v>48.7</c:v>
                </c:pt>
                <c:pt idx="1">
                  <c:v>51.3</c:v>
                </c:pt>
                <c:pt idx="2">
                  <c:v>20.5</c:v>
                </c:pt>
                <c:pt idx="3">
                  <c:v>30.7</c:v>
                </c:pt>
              </c:numCache>
            </c:numRef>
          </c:val>
        </c:ser>
        <c:dLbls>
          <c:showLegendKey val="0"/>
          <c:showVal val="1"/>
          <c:showCatName val="0"/>
          <c:showSerName val="0"/>
          <c:showPercent val="0"/>
          <c:showBubbleSize val="0"/>
        </c:dLbls>
        <c:gapWidth val="150"/>
        <c:overlap val="-25"/>
        <c:axId val="78172544"/>
        <c:axId val="78174080"/>
      </c:barChart>
      <c:catAx>
        <c:axId val="78172544"/>
        <c:scaling>
          <c:orientation val="minMax"/>
        </c:scaling>
        <c:delete val="0"/>
        <c:axPos val="b"/>
        <c:majorTickMark val="none"/>
        <c:minorTickMark val="none"/>
        <c:tickLblPos val="nextTo"/>
        <c:crossAx val="78174080"/>
        <c:crosses val="autoZero"/>
        <c:auto val="1"/>
        <c:lblAlgn val="ctr"/>
        <c:lblOffset val="100"/>
        <c:noMultiLvlLbl val="0"/>
      </c:catAx>
      <c:valAx>
        <c:axId val="78174080"/>
        <c:scaling>
          <c:orientation val="minMax"/>
        </c:scaling>
        <c:delete val="1"/>
        <c:axPos val="l"/>
        <c:numFmt formatCode="General" sourceLinked="1"/>
        <c:majorTickMark val="out"/>
        <c:minorTickMark val="none"/>
        <c:tickLblPos val="nextTo"/>
        <c:crossAx val="78172544"/>
        <c:crosses val="autoZero"/>
        <c:crossBetween val="between"/>
      </c:valAx>
    </c:plotArea>
    <c:legend>
      <c:legendPos val="t"/>
      <c:overlay val="0"/>
    </c:legend>
    <c:plotVisOnly val="1"/>
    <c:dispBlanksAs val="gap"/>
    <c:showDLblsOverMax val="0"/>
  </c:chart>
  <c:txPr>
    <a:bodyPr/>
    <a:lstStyle/>
    <a:p>
      <a:pPr>
        <a:defRPr sz="800"/>
      </a:pPr>
      <a:endParaRPr lang="it-IT"/>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Foglio1!$B$4</c:f>
              <c:strCache>
                <c:ptCount val="1"/>
                <c:pt idx="0">
                  <c:v>Globale</c:v>
                </c:pt>
              </c:strCache>
            </c:strRef>
          </c:tx>
          <c:spPr>
            <a:solidFill>
              <a:schemeClr val="accent3"/>
            </a:solidFill>
          </c:spPr>
          <c:invertIfNegative val="0"/>
          <c:cat>
            <c:strRef>
              <c:f>Foglio1!$A$5:$A$15</c:f>
              <c:strCache>
                <c:ptCount val="11"/>
                <c:pt idx="0">
                  <c:v>recupero, potenziamento, ampliamento offerta formativa</c:v>
                </c:pt>
                <c:pt idx="1">
                  <c:v>concorsi, gare, eventi</c:v>
                </c:pt>
                <c:pt idx="2">
                  <c:v>partecipazione a gruppi di lavoro</c:v>
                </c:pt>
                <c:pt idx="3">
                  <c:v>partecipazione a bandi</c:v>
                </c:pt>
                <c:pt idx="4">
                  <c:v>viaggi e visite</c:v>
                </c:pt>
                <c:pt idx="5">
                  <c:v>orientamento</c:v>
                </c:pt>
                <c:pt idx="6">
                  <c:v>CLIL</c:v>
                </c:pt>
                <c:pt idx="7">
                  <c:v>TIC</c:v>
                </c:pt>
                <c:pt idx="8">
                  <c:v>didattica laboratoriale</c:v>
                </c:pt>
                <c:pt idx="9">
                  <c:v>didattica per gruppi</c:v>
                </c:pt>
                <c:pt idx="10">
                  <c:v>miglioramento esiti a distanza e INVALSI</c:v>
                </c:pt>
              </c:strCache>
            </c:strRef>
          </c:cat>
          <c:val>
            <c:numRef>
              <c:f>Foglio1!$B$5:$B$15</c:f>
              <c:numCache>
                <c:formatCode>General</c:formatCode>
                <c:ptCount val="11"/>
                <c:pt idx="0">
                  <c:v>66.400000000000006</c:v>
                </c:pt>
                <c:pt idx="1">
                  <c:v>46</c:v>
                </c:pt>
                <c:pt idx="2">
                  <c:v>44.3</c:v>
                </c:pt>
                <c:pt idx="3">
                  <c:v>49.2</c:v>
                </c:pt>
                <c:pt idx="4">
                  <c:v>36</c:v>
                </c:pt>
                <c:pt idx="5">
                  <c:v>18.8</c:v>
                </c:pt>
                <c:pt idx="6">
                  <c:v>27.9</c:v>
                </c:pt>
                <c:pt idx="7">
                  <c:v>74.599999999999994</c:v>
                </c:pt>
                <c:pt idx="8">
                  <c:v>53.3</c:v>
                </c:pt>
                <c:pt idx="9">
                  <c:v>43.4</c:v>
                </c:pt>
                <c:pt idx="10">
                  <c:v>27.9</c:v>
                </c:pt>
              </c:numCache>
            </c:numRef>
          </c:val>
        </c:ser>
        <c:ser>
          <c:idx val="1"/>
          <c:order val="1"/>
          <c:tx>
            <c:strRef>
              <c:f>Foglio1!$C$4</c:f>
              <c:strCache>
                <c:ptCount val="1"/>
                <c:pt idx="0">
                  <c:v>I ciclo</c:v>
                </c:pt>
              </c:strCache>
            </c:strRef>
          </c:tx>
          <c:spPr>
            <a:solidFill>
              <a:schemeClr val="tx2">
                <a:lumMod val="60000"/>
                <a:lumOff val="40000"/>
              </a:schemeClr>
            </a:solidFill>
          </c:spPr>
          <c:invertIfNegative val="0"/>
          <c:cat>
            <c:strRef>
              <c:f>Foglio1!$A$5:$A$15</c:f>
              <c:strCache>
                <c:ptCount val="11"/>
                <c:pt idx="0">
                  <c:v>recupero, potenziamento, ampliamento offerta formativa</c:v>
                </c:pt>
                <c:pt idx="1">
                  <c:v>concorsi, gare, eventi</c:v>
                </c:pt>
                <c:pt idx="2">
                  <c:v>partecipazione a gruppi di lavoro</c:v>
                </c:pt>
                <c:pt idx="3">
                  <c:v>partecipazione a bandi</c:v>
                </c:pt>
                <c:pt idx="4">
                  <c:v>viaggi e visite</c:v>
                </c:pt>
                <c:pt idx="5">
                  <c:v>orientamento</c:v>
                </c:pt>
                <c:pt idx="6">
                  <c:v>CLIL</c:v>
                </c:pt>
                <c:pt idx="7">
                  <c:v>TIC</c:v>
                </c:pt>
                <c:pt idx="8">
                  <c:v>didattica laboratoriale</c:v>
                </c:pt>
                <c:pt idx="9">
                  <c:v>didattica per gruppi</c:v>
                </c:pt>
                <c:pt idx="10">
                  <c:v>miglioramento esiti a distanza e INVALSI</c:v>
                </c:pt>
              </c:strCache>
            </c:strRef>
          </c:cat>
          <c:val>
            <c:numRef>
              <c:f>Foglio1!$C$5:$C$15</c:f>
              <c:numCache>
                <c:formatCode>General</c:formatCode>
                <c:ptCount val="11"/>
                <c:pt idx="0">
                  <c:v>66.2</c:v>
                </c:pt>
                <c:pt idx="1">
                  <c:v>50.6</c:v>
                </c:pt>
                <c:pt idx="2">
                  <c:v>44.6</c:v>
                </c:pt>
                <c:pt idx="3">
                  <c:v>54.2</c:v>
                </c:pt>
                <c:pt idx="4">
                  <c:v>38.5</c:v>
                </c:pt>
                <c:pt idx="5">
                  <c:v>12</c:v>
                </c:pt>
                <c:pt idx="6">
                  <c:v>27.7</c:v>
                </c:pt>
                <c:pt idx="7">
                  <c:v>78.3</c:v>
                </c:pt>
                <c:pt idx="8">
                  <c:v>57.8</c:v>
                </c:pt>
                <c:pt idx="9">
                  <c:v>51.8</c:v>
                </c:pt>
                <c:pt idx="10">
                  <c:v>31.3</c:v>
                </c:pt>
              </c:numCache>
            </c:numRef>
          </c:val>
        </c:ser>
        <c:ser>
          <c:idx val="2"/>
          <c:order val="2"/>
          <c:tx>
            <c:strRef>
              <c:f>Foglio1!$D$4</c:f>
              <c:strCache>
                <c:ptCount val="1"/>
                <c:pt idx="0">
                  <c:v>II  ciclo</c:v>
                </c:pt>
              </c:strCache>
            </c:strRef>
          </c:tx>
          <c:spPr>
            <a:solidFill>
              <a:schemeClr val="accent6"/>
            </a:solidFill>
          </c:spPr>
          <c:invertIfNegative val="0"/>
          <c:cat>
            <c:strRef>
              <c:f>Foglio1!$A$5:$A$15</c:f>
              <c:strCache>
                <c:ptCount val="11"/>
                <c:pt idx="0">
                  <c:v>recupero, potenziamento, ampliamento offerta formativa</c:v>
                </c:pt>
                <c:pt idx="1">
                  <c:v>concorsi, gare, eventi</c:v>
                </c:pt>
                <c:pt idx="2">
                  <c:v>partecipazione a gruppi di lavoro</c:v>
                </c:pt>
                <c:pt idx="3">
                  <c:v>partecipazione a bandi</c:v>
                </c:pt>
                <c:pt idx="4">
                  <c:v>viaggi e visite</c:v>
                </c:pt>
                <c:pt idx="5">
                  <c:v>orientamento</c:v>
                </c:pt>
                <c:pt idx="6">
                  <c:v>CLIL</c:v>
                </c:pt>
                <c:pt idx="7">
                  <c:v>TIC</c:v>
                </c:pt>
                <c:pt idx="8">
                  <c:v>didattica laboratoriale</c:v>
                </c:pt>
                <c:pt idx="9">
                  <c:v>didattica per gruppi</c:v>
                </c:pt>
                <c:pt idx="10">
                  <c:v>miglioramento esiti a distanza e INVALSI</c:v>
                </c:pt>
              </c:strCache>
            </c:strRef>
          </c:cat>
          <c:val>
            <c:numRef>
              <c:f>Foglio1!$D$5:$D$15</c:f>
              <c:numCache>
                <c:formatCode>General</c:formatCode>
                <c:ptCount val="11"/>
                <c:pt idx="0">
                  <c:v>61.5</c:v>
                </c:pt>
                <c:pt idx="1">
                  <c:v>35.9</c:v>
                </c:pt>
                <c:pt idx="2">
                  <c:v>43.6</c:v>
                </c:pt>
                <c:pt idx="3">
                  <c:v>38.5</c:v>
                </c:pt>
                <c:pt idx="4">
                  <c:v>30.8</c:v>
                </c:pt>
                <c:pt idx="5">
                  <c:v>33.299999999999997</c:v>
                </c:pt>
                <c:pt idx="6">
                  <c:v>28.2</c:v>
                </c:pt>
                <c:pt idx="7">
                  <c:v>64.099999999999994</c:v>
                </c:pt>
                <c:pt idx="8">
                  <c:v>43.6</c:v>
                </c:pt>
                <c:pt idx="9">
                  <c:v>25.6</c:v>
                </c:pt>
                <c:pt idx="10">
                  <c:v>20.5</c:v>
                </c:pt>
              </c:numCache>
            </c:numRef>
          </c:val>
        </c:ser>
        <c:dLbls>
          <c:showLegendKey val="0"/>
          <c:showVal val="1"/>
          <c:showCatName val="0"/>
          <c:showSerName val="0"/>
          <c:showPercent val="0"/>
          <c:showBubbleSize val="0"/>
        </c:dLbls>
        <c:gapWidth val="150"/>
        <c:overlap val="-25"/>
        <c:axId val="79000320"/>
        <c:axId val="79001856"/>
      </c:barChart>
      <c:catAx>
        <c:axId val="79000320"/>
        <c:scaling>
          <c:orientation val="minMax"/>
        </c:scaling>
        <c:delete val="0"/>
        <c:axPos val="l"/>
        <c:majorTickMark val="none"/>
        <c:minorTickMark val="none"/>
        <c:tickLblPos val="nextTo"/>
        <c:crossAx val="79001856"/>
        <c:crosses val="autoZero"/>
        <c:auto val="1"/>
        <c:lblAlgn val="ctr"/>
        <c:lblOffset val="100"/>
        <c:noMultiLvlLbl val="0"/>
      </c:catAx>
      <c:valAx>
        <c:axId val="79001856"/>
        <c:scaling>
          <c:orientation val="minMax"/>
        </c:scaling>
        <c:delete val="1"/>
        <c:axPos val="b"/>
        <c:numFmt formatCode="General" sourceLinked="1"/>
        <c:majorTickMark val="out"/>
        <c:minorTickMark val="none"/>
        <c:tickLblPos val="nextTo"/>
        <c:crossAx val="79000320"/>
        <c:crosses val="autoZero"/>
        <c:crossBetween val="between"/>
      </c:valAx>
    </c:plotArea>
    <c:legend>
      <c:legendPos val="t"/>
      <c:overlay val="0"/>
    </c:legend>
    <c:plotVisOnly val="1"/>
    <c:dispBlanksAs val="gap"/>
    <c:showDLblsOverMax val="0"/>
  </c:chart>
  <c:txPr>
    <a:bodyPr/>
    <a:lstStyle/>
    <a:p>
      <a:pPr>
        <a:defRPr sz="800"/>
      </a:pPr>
      <a:endParaRPr lang="it-IT"/>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Foglio6!$A$61</c:f>
              <c:strCache>
                <c:ptCount val="1"/>
                <c:pt idx="0">
                  <c:v>produzione materiali</c:v>
                </c:pt>
              </c:strCache>
            </c:strRef>
          </c:tx>
          <c:spPr>
            <a:solidFill>
              <a:schemeClr val="accent5">
                <a:lumMod val="60000"/>
                <a:lumOff val="40000"/>
              </a:schemeClr>
            </a:solidFill>
          </c:spPr>
          <c:invertIfNegative val="0"/>
          <c:cat>
            <c:strRef>
              <c:f>Foglio6!$B$60:$D$60</c:f>
              <c:strCache>
                <c:ptCount val="3"/>
                <c:pt idx="0">
                  <c:v>Globale</c:v>
                </c:pt>
                <c:pt idx="1">
                  <c:v>I ciclo</c:v>
                </c:pt>
                <c:pt idx="2">
                  <c:v>II  ciclo</c:v>
                </c:pt>
              </c:strCache>
            </c:strRef>
          </c:cat>
          <c:val>
            <c:numRef>
              <c:f>Foglio6!$B$61:$D$61</c:f>
              <c:numCache>
                <c:formatCode>General</c:formatCode>
                <c:ptCount val="3"/>
                <c:pt idx="0">
                  <c:v>71.3</c:v>
                </c:pt>
                <c:pt idx="1">
                  <c:v>77.099999999999994</c:v>
                </c:pt>
                <c:pt idx="2">
                  <c:v>58.9</c:v>
                </c:pt>
              </c:numCache>
            </c:numRef>
          </c:val>
        </c:ser>
        <c:ser>
          <c:idx val="1"/>
          <c:order val="1"/>
          <c:tx>
            <c:strRef>
              <c:f>Foglio6!$A$62</c:f>
              <c:strCache>
                <c:ptCount val="1"/>
                <c:pt idx="0">
                  <c:v>condivisione buone pratiche</c:v>
                </c:pt>
              </c:strCache>
            </c:strRef>
          </c:tx>
          <c:spPr>
            <a:solidFill>
              <a:schemeClr val="accent3">
                <a:lumMod val="60000"/>
                <a:lumOff val="40000"/>
              </a:schemeClr>
            </a:solidFill>
          </c:spPr>
          <c:invertIfNegative val="0"/>
          <c:cat>
            <c:strRef>
              <c:f>Foglio6!$B$60:$D$60</c:f>
              <c:strCache>
                <c:ptCount val="3"/>
                <c:pt idx="0">
                  <c:v>Globale</c:v>
                </c:pt>
                <c:pt idx="1">
                  <c:v>I ciclo</c:v>
                </c:pt>
                <c:pt idx="2">
                  <c:v>II  ciclo</c:v>
                </c:pt>
              </c:strCache>
            </c:strRef>
          </c:cat>
          <c:val>
            <c:numRef>
              <c:f>Foglio6!$B$62:$D$62</c:f>
              <c:numCache>
                <c:formatCode>General</c:formatCode>
                <c:ptCount val="3"/>
                <c:pt idx="0">
                  <c:v>34.4</c:v>
                </c:pt>
                <c:pt idx="1">
                  <c:v>36.1</c:v>
                </c:pt>
                <c:pt idx="2">
                  <c:v>30.8</c:v>
                </c:pt>
              </c:numCache>
            </c:numRef>
          </c:val>
        </c:ser>
        <c:dLbls>
          <c:showLegendKey val="0"/>
          <c:showVal val="1"/>
          <c:showCatName val="0"/>
          <c:showSerName val="0"/>
          <c:showPercent val="0"/>
          <c:showBubbleSize val="0"/>
        </c:dLbls>
        <c:gapWidth val="150"/>
        <c:overlap val="-25"/>
        <c:axId val="79028224"/>
        <c:axId val="79029760"/>
      </c:barChart>
      <c:catAx>
        <c:axId val="79028224"/>
        <c:scaling>
          <c:orientation val="minMax"/>
        </c:scaling>
        <c:delete val="0"/>
        <c:axPos val="b"/>
        <c:majorTickMark val="none"/>
        <c:minorTickMark val="none"/>
        <c:tickLblPos val="nextTo"/>
        <c:crossAx val="79029760"/>
        <c:crosses val="autoZero"/>
        <c:auto val="1"/>
        <c:lblAlgn val="ctr"/>
        <c:lblOffset val="100"/>
        <c:noMultiLvlLbl val="0"/>
      </c:catAx>
      <c:valAx>
        <c:axId val="79029760"/>
        <c:scaling>
          <c:orientation val="minMax"/>
        </c:scaling>
        <c:delete val="1"/>
        <c:axPos val="l"/>
        <c:numFmt formatCode="General" sourceLinked="1"/>
        <c:majorTickMark val="out"/>
        <c:minorTickMark val="none"/>
        <c:tickLblPos val="nextTo"/>
        <c:crossAx val="79028224"/>
        <c:crosses val="autoZero"/>
        <c:crossBetween val="between"/>
      </c:valAx>
    </c:plotArea>
    <c:legend>
      <c:legendPos val="t"/>
      <c:overlay val="0"/>
    </c:legend>
    <c:plotVisOnly val="1"/>
    <c:dispBlanksAs val="gap"/>
    <c:showDLblsOverMax val="0"/>
  </c:chart>
  <c:txPr>
    <a:bodyPr/>
    <a:lstStyle/>
    <a:p>
      <a:pPr>
        <a:defRPr sz="800"/>
      </a:pPr>
      <a:endParaRPr lang="it-I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Pt>
            <c:idx val="0"/>
            <c:bubble3D val="0"/>
            <c:spPr>
              <a:solidFill>
                <a:schemeClr val="accent5">
                  <a:lumMod val="40000"/>
                  <a:lumOff val="60000"/>
                </a:schemeClr>
              </a:solidFill>
            </c:spPr>
          </c:dPt>
          <c:dPt>
            <c:idx val="1"/>
            <c:bubble3D val="0"/>
            <c:spPr>
              <a:solidFill>
                <a:srgbClr val="FF0000"/>
              </a:solidFill>
            </c:spPr>
          </c:dPt>
          <c:dLbls>
            <c:showLegendKey val="0"/>
            <c:showVal val="0"/>
            <c:showCatName val="0"/>
            <c:showSerName val="0"/>
            <c:showPercent val="1"/>
            <c:showBubbleSize val="0"/>
            <c:showLeaderLines val="1"/>
          </c:dLbls>
          <c:cat>
            <c:strRef>
              <c:f>Foglio1!$B$39:$B$40</c:f>
              <c:strCache>
                <c:ptCount val="2"/>
                <c:pt idx="0">
                  <c:v>sì</c:v>
                </c:pt>
                <c:pt idx="1">
                  <c:v>no</c:v>
                </c:pt>
              </c:strCache>
            </c:strRef>
          </c:cat>
          <c:val>
            <c:numRef>
              <c:f>Foglio1!$C$39:$C$40</c:f>
              <c:numCache>
                <c:formatCode>General</c:formatCode>
                <c:ptCount val="2"/>
                <c:pt idx="0">
                  <c:v>102</c:v>
                </c:pt>
                <c:pt idx="1">
                  <c:v>2</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zero"/>
    <c:showDLblsOverMax val="0"/>
  </c:chart>
  <c:txPr>
    <a:bodyPr/>
    <a:lstStyle/>
    <a:p>
      <a:pPr>
        <a:defRPr sz="800"/>
      </a:pPr>
      <a:endParaRPr lang="it-IT"/>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Foglio6!$B$77</c:f>
              <c:strCache>
                <c:ptCount val="1"/>
                <c:pt idx="0">
                  <c:v>Globale</c:v>
                </c:pt>
              </c:strCache>
            </c:strRef>
          </c:tx>
          <c:spPr>
            <a:solidFill>
              <a:schemeClr val="accent3"/>
            </a:solidFill>
          </c:spPr>
          <c:invertIfNegative val="0"/>
          <c:cat>
            <c:strRef>
              <c:f>Foglio6!$A$78:$A$81</c:f>
              <c:strCache>
                <c:ptCount val="4"/>
                <c:pt idx="0">
                  <c:v>staff/compiti di coordinamento</c:v>
                </c:pt>
                <c:pt idx="1">
                  <c:v>animatore digitale</c:v>
                </c:pt>
                <c:pt idx="2">
                  <c:v>SPP</c:v>
                </c:pt>
                <c:pt idx="3">
                  <c:v>GLI</c:v>
                </c:pt>
              </c:strCache>
            </c:strRef>
          </c:cat>
          <c:val>
            <c:numRef>
              <c:f>Foglio6!$B$78:$B$81</c:f>
              <c:numCache>
                <c:formatCode>General</c:formatCode>
                <c:ptCount val="4"/>
                <c:pt idx="0">
                  <c:v>90.2</c:v>
                </c:pt>
                <c:pt idx="1">
                  <c:v>50</c:v>
                </c:pt>
                <c:pt idx="2">
                  <c:v>46.7</c:v>
                </c:pt>
                <c:pt idx="3">
                  <c:v>31.1</c:v>
                </c:pt>
              </c:numCache>
            </c:numRef>
          </c:val>
        </c:ser>
        <c:ser>
          <c:idx val="1"/>
          <c:order val="1"/>
          <c:tx>
            <c:strRef>
              <c:f>Foglio6!$C$77</c:f>
              <c:strCache>
                <c:ptCount val="1"/>
                <c:pt idx="0">
                  <c:v>I ciclo</c:v>
                </c:pt>
              </c:strCache>
            </c:strRef>
          </c:tx>
          <c:spPr>
            <a:solidFill>
              <a:srgbClr val="0070C0"/>
            </a:solidFill>
          </c:spPr>
          <c:invertIfNegative val="0"/>
          <c:cat>
            <c:strRef>
              <c:f>Foglio6!$A$78:$A$81</c:f>
              <c:strCache>
                <c:ptCount val="4"/>
                <c:pt idx="0">
                  <c:v>staff/compiti di coordinamento</c:v>
                </c:pt>
                <c:pt idx="1">
                  <c:v>animatore digitale</c:v>
                </c:pt>
                <c:pt idx="2">
                  <c:v>SPP</c:v>
                </c:pt>
                <c:pt idx="3">
                  <c:v>GLI</c:v>
                </c:pt>
              </c:strCache>
            </c:strRef>
          </c:cat>
          <c:val>
            <c:numRef>
              <c:f>Foglio6!$C$78:$C$81</c:f>
              <c:numCache>
                <c:formatCode>General</c:formatCode>
                <c:ptCount val="4"/>
                <c:pt idx="0">
                  <c:v>92.7</c:v>
                </c:pt>
                <c:pt idx="1">
                  <c:v>59</c:v>
                </c:pt>
                <c:pt idx="2">
                  <c:v>53</c:v>
                </c:pt>
                <c:pt idx="3">
                  <c:v>33.700000000000003</c:v>
                </c:pt>
              </c:numCache>
            </c:numRef>
          </c:val>
        </c:ser>
        <c:ser>
          <c:idx val="2"/>
          <c:order val="2"/>
          <c:tx>
            <c:strRef>
              <c:f>Foglio6!$D$77</c:f>
              <c:strCache>
                <c:ptCount val="1"/>
                <c:pt idx="0">
                  <c:v>II  ciclo</c:v>
                </c:pt>
              </c:strCache>
            </c:strRef>
          </c:tx>
          <c:spPr>
            <a:solidFill>
              <a:schemeClr val="accent6"/>
            </a:solidFill>
          </c:spPr>
          <c:invertIfNegative val="0"/>
          <c:cat>
            <c:strRef>
              <c:f>Foglio6!$A$78:$A$81</c:f>
              <c:strCache>
                <c:ptCount val="4"/>
                <c:pt idx="0">
                  <c:v>staff/compiti di coordinamento</c:v>
                </c:pt>
                <c:pt idx="1">
                  <c:v>animatore digitale</c:v>
                </c:pt>
                <c:pt idx="2">
                  <c:v>SPP</c:v>
                </c:pt>
                <c:pt idx="3">
                  <c:v>GLI</c:v>
                </c:pt>
              </c:strCache>
            </c:strRef>
          </c:cat>
          <c:val>
            <c:numRef>
              <c:f>Foglio6!$D$78:$D$81</c:f>
              <c:numCache>
                <c:formatCode>General</c:formatCode>
                <c:ptCount val="4"/>
                <c:pt idx="0">
                  <c:v>84.6</c:v>
                </c:pt>
                <c:pt idx="1">
                  <c:v>30.8</c:v>
                </c:pt>
                <c:pt idx="2">
                  <c:v>33.299999999999997</c:v>
                </c:pt>
                <c:pt idx="3">
                  <c:v>25.6</c:v>
                </c:pt>
              </c:numCache>
            </c:numRef>
          </c:val>
        </c:ser>
        <c:dLbls>
          <c:showLegendKey val="0"/>
          <c:showVal val="1"/>
          <c:showCatName val="0"/>
          <c:showSerName val="0"/>
          <c:showPercent val="0"/>
          <c:showBubbleSize val="0"/>
        </c:dLbls>
        <c:gapWidth val="150"/>
        <c:overlap val="-25"/>
        <c:axId val="141996032"/>
        <c:axId val="141997568"/>
      </c:barChart>
      <c:catAx>
        <c:axId val="141996032"/>
        <c:scaling>
          <c:orientation val="minMax"/>
        </c:scaling>
        <c:delete val="0"/>
        <c:axPos val="b"/>
        <c:majorTickMark val="none"/>
        <c:minorTickMark val="none"/>
        <c:tickLblPos val="nextTo"/>
        <c:crossAx val="141997568"/>
        <c:crosses val="autoZero"/>
        <c:auto val="1"/>
        <c:lblAlgn val="ctr"/>
        <c:lblOffset val="100"/>
        <c:noMultiLvlLbl val="0"/>
      </c:catAx>
      <c:valAx>
        <c:axId val="141997568"/>
        <c:scaling>
          <c:orientation val="minMax"/>
        </c:scaling>
        <c:delete val="1"/>
        <c:axPos val="l"/>
        <c:numFmt formatCode="General" sourceLinked="1"/>
        <c:majorTickMark val="out"/>
        <c:minorTickMark val="none"/>
        <c:tickLblPos val="nextTo"/>
        <c:crossAx val="141996032"/>
        <c:crosses val="autoZero"/>
        <c:crossBetween val="between"/>
      </c:valAx>
    </c:plotArea>
    <c:legend>
      <c:legendPos val="t"/>
      <c:overlay val="0"/>
    </c:legend>
    <c:plotVisOnly val="1"/>
    <c:dispBlanksAs val="gap"/>
    <c:showDLblsOverMax val="0"/>
  </c:chart>
  <c:txPr>
    <a:bodyPr/>
    <a:lstStyle/>
    <a:p>
      <a:pPr>
        <a:defRPr sz="800"/>
      </a:pPr>
      <a:endParaRPr lang="it-IT"/>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Foglio6!$A$97</c:f>
              <c:strCache>
                <c:ptCount val="1"/>
                <c:pt idx="0">
                  <c:v>formazione personale</c:v>
                </c:pt>
              </c:strCache>
            </c:strRef>
          </c:tx>
          <c:spPr>
            <a:solidFill>
              <a:schemeClr val="accent5">
                <a:lumMod val="60000"/>
                <a:lumOff val="40000"/>
              </a:schemeClr>
            </a:solidFill>
          </c:spPr>
          <c:invertIfNegative val="0"/>
          <c:cat>
            <c:strRef>
              <c:f>Foglio6!$B$96:$D$96</c:f>
              <c:strCache>
                <c:ptCount val="3"/>
                <c:pt idx="0">
                  <c:v>Globale</c:v>
                </c:pt>
                <c:pt idx="1">
                  <c:v>I ciclo</c:v>
                </c:pt>
                <c:pt idx="2">
                  <c:v>II  ciclo</c:v>
                </c:pt>
              </c:strCache>
            </c:strRef>
          </c:cat>
          <c:val>
            <c:numRef>
              <c:f>Foglio6!$B$97:$D$97</c:f>
              <c:numCache>
                <c:formatCode>General</c:formatCode>
                <c:ptCount val="3"/>
                <c:pt idx="0">
                  <c:v>74.599999999999994</c:v>
                </c:pt>
                <c:pt idx="1">
                  <c:v>74.7</c:v>
                </c:pt>
                <c:pt idx="2">
                  <c:v>74.3</c:v>
                </c:pt>
              </c:numCache>
            </c:numRef>
          </c:val>
        </c:ser>
        <c:ser>
          <c:idx val="1"/>
          <c:order val="1"/>
          <c:tx>
            <c:strRef>
              <c:f>Foglio6!$A$98</c:f>
              <c:strCache>
                <c:ptCount val="1"/>
                <c:pt idx="0">
                  <c:v>tutor</c:v>
                </c:pt>
              </c:strCache>
            </c:strRef>
          </c:tx>
          <c:spPr>
            <a:solidFill>
              <a:schemeClr val="accent3">
                <a:lumMod val="60000"/>
                <a:lumOff val="40000"/>
              </a:schemeClr>
            </a:solidFill>
          </c:spPr>
          <c:invertIfNegative val="0"/>
          <c:cat>
            <c:strRef>
              <c:f>Foglio6!$B$96:$D$96</c:f>
              <c:strCache>
                <c:ptCount val="3"/>
                <c:pt idx="0">
                  <c:v>Globale</c:v>
                </c:pt>
                <c:pt idx="1">
                  <c:v>I ciclo</c:v>
                </c:pt>
                <c:pt idx="2">
                  <c:v>II  ciclo</c:v>
                </c:pt>
              </c:strCache>
            </c:strRef>
          </c:cat>
          <c:val>
            <c:numRef>
              <c:f>Foglio6!$B$98:$D$98</c:f>
              <c:numCache>
                <c:formatCode>General</c:formatCode>
                <c:ptCount val="3"/>
                <c:pt idx="0">
                  <c:v>75.400000000000006</c:v>
                </c:pt>
                <c:pt idx="1">
                  <c:v>75.900000000000006</c:v>
                </c:pt>
                <c:pt idx="2">
                  <c:v>74.3</c:v>
                </c:pt>
              </c:numCache>
            </c:numRef>
          </c:val>
        </c:ser>
        <c:dLbls>
          <c:showLegendKey val="0"/>
          <c:showVal val="1"/>
          <c:showCatName val="0"/>
          <c:showSerName val="0"/>
          <c:showPercent val="0"/>
          <c:showBubbleSize val="0"/>
        </c:dLbls>
        <c:gapWidth val="150"/>
        <c:overlap val="-25"/>
        <c:axId val="145230848"/>
        <c:axId val="145244928"/>
      </c:barChart>
      <c:catAx>
        <c:axId val="145230848"/>
        <c:scaling>
          <c:orientation val="minMax"/>
        </c:scaling>
        <c:delete val="0"/>
        <c:axPos val="b"/>
        <c:majorTickMark val="none"/>
        <c:minorTickMark val="none"/>
        <c:tickLblPos val="nextTo"/>
        <c:crossAx val="145244928"/>
        <c:crosses val="autoZero"/>
        <c:auto val="1"/>
        <c:lblAlgn val="ctr"/>
        <c:lblOffset val="100"/>
        <c:noMultiLvlLbl val="0"/>
      </c:catAx>
      <c:valAx>
        <c:axId val="145244928"/>
        <c:scaling>
          <c:orientation val="minMax"/>
        </c:scaling>
        <c:delete val="1"/>
        <c:axPos val="l"/>
        <c:numFmt formatCode="General" sourceLinked="1"/>
        <c:majorTickMark val="out"/>
        <c:minorTickMark val="none"/>
        <c:tickLblPos val="nextTo"/>
        <c:crossAx val="145230848"/>
        <c:crosses val="autoZero"/>
        <c:crossBetween val="between"/>
      </c:valAx>
    </c:plotArea>
    <c:legend>
      <c:legendPos val="t"/>
      <c:overlay val="0"/>
    </c:legend>
    <c:plotVisOnly val="1"/>
    <c:dispBlanksAs val="gap"/>
    <c:showDLblsOverMax val="0"/>
  </c:chart>
  <c:txPr>
    <a:bodyPr/>
    <a:lstStyle/>
    <a:p>
      <a:pPr>
        <a:defRPr sz="800"/>
      </a:pPr>
      <a:endParaRPr lang="it-IT"/>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Foglio6!$A$117</c:f>
              <c:strCache>
                <c:ptCount val="1"/>
                <c:pt idx="0">
                  <c:v>Disponibilità a sostituire i colleghi</c:v>
                </c:pt>
              </c:strCache>
            </c:strRef>
          </c:tx>
          <c:spPr>
            <a:solidFill>
              <a:schemeClr val="accent5">
                <a:lumMod val="60000"/>
                <a:lumOff val="40000"/>
              </a:schemeClr>
            </a:solidFill>
          </c:spPr>
          <c:invertIfNegative val="0"/>
          <c:cat>
            <c:strRef>
              <c:f>Foglio6!$B$116:$D$116</c:f>
              <c:strCache>
                <c:ptCount val="3"/>
                <c:pt idx="0">
                  <c:v>Globale</c:v>
                </c:pt>
                <c:pt idx="1">
                  <c:v>I ciclo</c:v>
                </c:pt>
                <c:pt idx="2">
                  <c:v>II  ciclo</c:v>
                </c:pt>
              </c:strCache>
            </c:strRef>
          </c:cat>
          <c:val>
            <c:numRef>
              <c:f>Foglio6!$B$117:$D$117</c:f>
              <c:numCache>
                <c:formatCode>General</c:formatCode>
                <c:ptCount val="3"/>
                <c:pt idx="0">
                  <c:v>30.3</c:v>
                </c:pt>
                <c:pt idx="1">
                  <c:v>33.700000000000003</c:v>
                </c:pt>
                <c:pt idx="2">
                  <c:v>23</c:v>
                </c:pt>
              </c:numCache>
            </c:numRef>
          </c:val>
        </c:ser>
        <c:ser>
          <c:idx val="1"/>
          <c:order val="1"/>
          <c:tx>
            <c:strRef>
              <c:f>Foglio6!$A$118</c:f>
              <c:strCache>
                <c:ptCount val="1"/>
                <c:pt idx="0">
                  <c:v>impegni oltre orario</c:v>
                </c:pt>
              </c:strCache>
            </c:strRef>
          </c:tx>
          <c:spPr>
            <a:solidFill>
              <a:schemeClr val="accent3">
                <a:lumMod val="60000"/>
                <a:lumOff val="40000"/>
              </a:schemeClr>
            </a:solidFill>
          </c:spPr>
          <c:invertIfNegative val="0"/>
          <c:cat>
            <c:strRef>
              <c:f>Foglio6!$B$116:$D$116</c:f>
              <c:strCache>
                <c:ptCount val="3"/>
                <c:pt idx="0">
                  <c:v>Globale</c:v>
                </c:pt>
                <c:pt idx="1">
                  <c:v>I ciclo</c:v>
                </c:pt>
                <c:pt idx="2">
                  <c:v>II  ciclo</c:v>
                </c:pt>
              </c:strCache>
            </c:strRef>
          </c:cat>
          <c:val>
            <c:numRef>
              <c:f>Foglio6!$B$118:$D$118</c:f>
              <c:numCache>
                <c:formatCode>General</c:formatCode>
                <c:ptCount val="3"/>
                <c:pt idx="0">
                  <c:v>37.700000000000003</c:v>
                </c:pt>
                <c:pt idx="1">
                  <c:v>32.5</c:v>
                </c:pt>
                <c:pt idx="2">
                  <c:v>48.7</c:v>
                </c:pt>
              </c:numCache>
            </c:numRef>
          </c:val>
        </c:ser>
        <c:dLbls>
          <c:showLegendKey val="0"/>
          <c:showVal val="1"/>
          <c:showCatName val="0"/>
          <c:showSerName val="0"/>
          <c:showPercent val="0"/>
          <c:showBubbleSize val="0"/>
        </c:dLbls>
        <c:gapWidth val="150"/>
        <c:overlap val="-25"/>
        <c:axId val="145271040"/>
        <c:axId val="145289216"/>
      </c:barChart>
      <c:catAx>
        <c:axId val="145271040"/>
        <c:scaling>
          <c:orientation val="minMax"/>
        </c:scaling>
        <c:delete val="0"/>
        <c:axPos val="b"/>
        <c:majorTickMark val="none"/>
        <c:minorTickMark val="none"/>
        <c:tickLblPos val="nextTo"/>
        <c:crossAx val="145289216"/>
        <c:crosses val="autoZero"/>
        <c:auto val="1"/>
        <c:lblAlgn val="ctr"/>
        <c:lblOffset val="100"/>
        <c:noMultiLvlLbl val="0"/>
      </c:catAx>
      <c:valAx>
        <c:axId val="145289216"/>
        <c:scaling>
          <c:orientation val="minMax"/>
        </c:scaling>
        <c:delete val="1"/>
        <c:axPos val="l"/>
        <c:numFmt formatCode="General" sourceLinked="1"/>
        <c:majorTickMark val="out"/>
        <c:minorTickMark val="none"/>
        <c:tickLblPos val="nextTo"/>
        <c:crossAx val="145271040"/>
        <c:crosses val="autoZero"/>
        <c:crossBetween val="between"/>
      </c:valAx>
    </c:plotArea>
    <c:legend>
      <c:legendPos val="t"/>
      <c:overlay val="0"/>
    </c:legend>
    <c:plotVisOnly val="1"/>
    <c:dispBlanksAs val="gap"/>
    <c:showDLblsOverMax val="0"/>
  </c:chart>
  <c:txPr>
    <a:bodyPr/>
    <a:lstStyle/>
    <a:p>
      <a:pPr>
        <a:defRPr sz="800"/>
      </a:pPr>
      <a:endParaRPr lang="it-I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5">
                <a:lumMod val="40000"/>
                <a:lumOff val="60000"/>
              </a:schemeClr>
            </a:solidFill>
          </c:spPr>
          <c:invertIfNegative val="0"/>
          <c:cat>
            <c:strRef>
              <c:f>Foglio1!$B$57:$B$59</c:f>
              <c:strCache>
                <c:ptCount val="3"/>
                <c:pt idx="0">
                  <c:v>criterio A</c:v>
                </c:pt>
                <c:pt idx="1">
                  <c:v>criterio B</c:v>
                </c:pt>
                <c:pt idx="2">
                  <c:v>criterio C</c:v>
                </c:pt>
              </c:strCache>
            </c:strRef>
          </c:cat>
          <c:val>
            <c:numRef>
              <c:f>Foglio1!$C$57:$C$59</c:f>
              <c:numCache>
                <c:formatCode>General</c:formatCode>
                <c:ptCount val="3"/>
                <c:pt idx="0">
                  <c:v>97.1</c:v>
                </c:pt>
                <c:pt idx="1">
                  <c:v>98</c:v>
                </c:pt>
                <c:pt idx="2">
                  <c:v>100</c:v>
                </c:pt>
              </c:numCache>
            </c:numRef>
          </c:val>
        </c:ser>
        <c:dLbls>
          <c:showLegendKey val="0"/>
          <c:showVal val="1"/>
          <c:showCatName val="0"/>
          <c:showSerName val="0"/>
          <c:showPercent val="0"/>
          <c:showBubbleSize val="0"/>
        </c:dLbls>
        <c:gapWidth val="150"/>
        <c:overlap val="-25"/>
        <c:axId val="150705280"/>
        <c:axId val="150706816"/>
      </c:barChart>
      <c:catAx>
        <c:axId val="150705280"/>
        <c:scaling>
          <c:orientation val="minMax"/>
        </c:scaling>
        <c:delete val="0"/>
        <c:axPos val="b"/>
        <c:majorTickMark val="none"/>
        <c:minorTickMark val="none"/>
        <c:tickLblPos val="nextTo"/>
        <c:crossAx val="150706816"/>
        <c:crosses val="autoZero"/>
        <c:auto val="1"/>
        <c:lblAlgn val="ctr"/>
        <c:lblOffset val="100"/>
        <c:noMultiLvlLbl val="0"/>
      </c:catAx>
      <c:valAx>
        <c:axId val="150706816"/>
        <c:scaling>
          <c:orientation val="minMax"/>
        </c:scaling>
        <c:delete val="1"/>
        <c:axPos val="l"/>
        <c:numFmt formatCode="General" sourceLinked="1"/>
        <c:majorTickMark val="out"/>
        <c:minorTickMark val="none"/>
        <c:tickLblPos val="none"/>
        <c:crossAx val="150705280"/>
        <c:crosses val="autoZero"/>
        <c:crossBetween val="between"/>
      </c:valAx>
    </c:plotArea>
    <c:plotVisOnly val="1"/>
    <c:dispBlanksAs val="gap"/>
    <c:showDLblsOverMax val="0"/>
  </c:chart>
  <c:txPr>
    <a:bodyPr/>
    <a:lstStyle/>
    <a:p>
      <a:pPr>
        <a:defRPr sz="800"/>
      </a:pPr>
      <a:endParaRPr lang="it-I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C00000"/>
            </a:solidFill>
          </c:spPr>
          <c:invertIfNegative val="0"/>
          <c:dPt>
            <c:idx val="1"/>
            <c:invertIfNegative val="0"/>
            <c:bubble3D val="0"/>
            <c:spPr>
              <a:solidFill>
                <a:schemeClr val="accent1"/>
              </a:solidFill>
            </c:spPr>
          </c:dPt>
          <c:dPt>
            <c:idx val="2"/>
            <c:invertIfNegative val="0"/>
            <c:bubble3D val="0"/>
            <c:spPr>
              <a:solidFill>
                <a:schemeClr val="accent6"/>
              </a:solidFill>
            </c:spPr>
          </c:dPt>
          <c:cat>
            <c:strRef>
              <c:f>Foglio1!$A$80:$A$82</c:f>
              <c:strCache>
                <c:ptCount val="3"/>
                <c:pt idx="0">
                  <c:v>globale </c:v>
                </c:pt>
                <c:pt idx="1">
                  <c:v>primo ciclo</c:v>
                </c:pt>
                <c:pt idx="2">
                  <c:v>secondo ciclo</c:v>
                </c:pt>
              </c:strCache>
            </c:strRef>
          </c:cat>
          <c:val>
            <c:numRef>
              <c:f>Foglio1!$B$80:$B$82</c:f>
              <c:numCache>
                <c:formatCode>General</c:formatCode>
                <c:ptCount val="3"/>
                <c:pt idx="0">
                  <c:v>67.3</c:v>
                </c:pt>
                <c:pt idx="1">
                  <c:v>65.2</c:v>
                </c:pt>
                <c:pt idx="2">
                  <c:v>71.8</c:v>
                </c:pt>
              </c:numCache>
            </c:numRef>
          </c:val>
        </c:ser>
        <c:dLbls>
          <c:showLegendKey val="0"/>
          <c:showVal val="1"/>
          <c:showCatName val="0"/>
          <c:showSerName val="0"/>
          <c:showPercent val="0"/>
          <c:showBubbleSize val="0"/>
        </c:dLbls>
        <c:gapWidth val="150"/>
        <c:overlap val="-25"/>
        <c:axId val="150728064"/>
        <c:axId val="150729856"/>
      </c:barChart>
      <c:catAx>
        <c:axId val="150728064"/>
        <c:scaling>
          <c:orientation val="minMax"/>
        </c:scaling>
        <c:delete val="0"/>
        <c:axPos val="b"/>
        <c:majorTickMark val="none"/>
        <c:minorTickMark val="none"/>
        <c:tickLblPos val="nextTo"/>
        <c:crossAx val="150729856"/>
        <c:crosses val="autoZero"/>
        <c:auto val="1"/>
        <c:lblAlgn val="ctr"/>
        <c:lblOffset val="100"/>
        <c:noMultiLvlLbl val="0"/>
      </c:catAx>
      <c:valAx>
        <c:axId val="150729856"/>
        <c:scaling>
          <c:orientation val="minMax"/>
        </c:scaling>
        <c:delete val="1"/>
        <c:axPos val="l"/>
        <c:numFmt formatCode="General" sourceLinked="1"/>
        <c:majorTickMark val="out"/>
        <c:minorTickMark val="none"/>
        <c:tickLblPos val="none"/>
        <c:crossAx val="150728064"/>
        <c:crosses val="autoZero"/>
        <c:crossBetween val="between"/>
      </c:valAx>
    </c:plotArea>
    <c:plotVisOnly val="1"/>
    <c:dispBlanksAs val="gap"/>
    <c:showDLblsOverMax val="0"/>
  </c:chart>
  <c:txPr>
    <a:bodyPr/>
    <a:lstStyle/>
    <a:p>
      <a:pPr>
        <a:defRPr sz="800"/>
      </a:pPr>
      <a:endParaRPr lang="it-I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chemeClr val="accent1"/>
            </a:solidFill>
          </c:spPr>
          <c:explosion val="25"/>
          <c:dPt>
            <c:idx val="0"/>
            <c:bubble3D val="0"/>
            <c:spPr>
              <a:solidFill>
                <a:schemeClr val="accent6"/>
              </a:solidFill>
            </c:spPr>
          </c:dPt>
          <c:dLbls>
            <c:dLbl>
              <c:idx val="0"/>
              <c:layout>
                <c:manualLayout>
                  <c:x val="5.9113079615048143E-2"/>
                  <c:y val="-0.10975102070574512"/>
                </c:manualLayout>
              </c:layout>
              <c:showLegendKey val="0"/>
              <c:showVal val="0"/>
              <c:showCatName val="0"/>
              <c:showSerName val="0"/>
              <c:showPercent val="1"/>
              <c:showBubbleSize val="0"/>
            </c:dLbl>
            <c:dLbl>
              <c:idx val="1"/>
              <c:layout>
                <c:manualLayout>
                  <c:x val="-7.7864829396325483E-2"/>
                  <c:y val="6.7493073782443888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Foglio1!$B$404:$B$405</c:f>
              <c:strCache>
                <c:ptCount val="2"/>
                <c:pt idx="0">
                  <c:v>I ciclo</c:v>
                </c:pt>
                <c:pt idx="1">
                  <c:v>II ciclo</c:v>
                </c:pt>
              </c:strCache>
            </c:strRef>
          </c:cat>
          <c:val>
            <c:numRef>
              <c:f>Foglio1!$C$404:$C$405</c:f>
              <c:numCache>
                <c:formatCode>General</c:formatCode>
                <c:ptCount val="2"/>
                <c:pt idx="0">
                  <c:v>68</c:v>
                </c:pt>
                <c:pt idx="1">
                  <c:v>31</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zero"/>
    <c:showDLblsOverMax val="0"/>
  </c:chart>
  <c:txPr>
    <a:bodyPr/>
    <a:lstStyle/>
    <a:p>
      <a:pPr>
        <a:defRPr sz="800"/>
      </a:pPr>
      <a:endParaRPr lang="it-I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Foglio1!$B$97</c:f>
              <c:strCache>
                <c:ptCount val="1"/>
                <c:pt idx="0">
                  <c:v>sì </c:v>
                </c:pt>
              </c:strCache>
            </c:strRef>
          </c:tx>
          <c:spPr>
            <a:solidFill>
              <a:schemeClr val="accent5">
                <a:lumMod val="40000"/>
                <a:lumOff val="60000"/>
              </a:schemeClr>
            </a:solidFill>
          </c:spPr>
          <c:invertIfNegative val="0"/>
          <c:cat>
            <c:strRef>
              <c:f>Foglio1!$A$98:$A$101</c:f>
              <c:strCache>
                <c:ptCount val="4"/>
                <c:pt idx="0">
                  <c:v>Albo</c:v>
                </c:pt>
                <c:pt idx="1">
                  <c:v>Circolare interna</c:v>
                </c:pt>
                <c:pt idx="2">
                  <c:v>Comunicazione interna ed extrascolastica</c:v>
                </c:pt>
                <c:pt idx="3">
                  <c:v>Sito</c:v>
                </c:pt>
              </c:strCache>
            </c:strRef>
          </c:cat>
          <c:val>
            <c:numRef>
              <c:f>Foglio1!$B$98:$B$101</c:f>
              <c:numCache>
                <c:formatCode>General</c:formatCode>
                <c:ptCount val="4"/>
                <c:pt idx="0">
                  <c:v>66.3</c:v>
                </c:pt>
                <c:pt idx="1">
                  <c:v>86.5</c:v>
                </c:pt>
                <c:pt idx="2">
                  <c:v>32.700000000000003</c:v>
                </c:pt>
                <c:pt idx="3">
                  <c:v>65.3</c:v>
                </c:pt>
              </c:numCache>
            </c:numRef>
          </c:val>
        </c:ser>
        <c:ser>
          <c:idx val="1"/>
          <c:order val="1"/>
          <c:tx>
            <c:strRef>
              <c:f>Foglio1!$C$97</c:f>
              <c:strCache>
                <c:ptCount val="1"/>
                <c:pt idx="0">
                  <c:v>no</c:v>
                </c:pt>
              </c:strCache>
            </c:strRef>
          </c:tx>
          <c:spPr>
            <a:solidFill>
              <a:schemeClr val="accent6">
                <a:lumMod val="60000"/>
                <a:lumOff val="40000"/>
              </a:schemeClr>
            </a:solidFill>
          </c:spPr>
          <c:invertIfNegative val="0"/>
          <c:dLbls>
            <c:spPr>
              <a:solidFill>
                <a:schemeClr val="accent6">
                  <a:lumMod val="60000"/>
                  <a:lumOff val="40000"/>
                </a:schemeClr>
              </a:solidFill>
            </c:spPr>
            <c:showLegendKey val="0"/>
            <c:showVal val="1"/>
            <c:showCatName val="0"/>
            <c:showSerName val="0"/>
            <c:showPercent val="0"/>
            <c:showBubbleSize val="0"/>
            <c:showLeaderLines val="0"/>
          </c:dLbls>
          <c:cat>
            <c:strRef>
              <c:f>Foglio1!$A$98:$A$101</c:f>
              <c:strCache>
                <c:ptCount val="4"/>
                <c:pt idx="0">
                  <c:v>Albo</c:v>
                </c:pt>
                <c:pt idx="1">
                  <c:v>Circolare interna</c:v>
                </c:pt>
                <c:pt idx="2">
                  <c:v>Comunicazione interna ed extrascolastica</c:v>
                </c:pt>
                <c:pt idx="3">
                  <c:v>Sito</c:v>
                </c:pt>
              </c:strCache>
            </c:strRef>
          </c:cat>
          <c:val>
            <c:numRef>
              <c:f>Foglio1!$C$98:$C$101</c:f>
              <c:numCache>
                <c:formatCode>General</c:formatCode>
                <c:ptCount val="4"/>
                <c:pt idx="0">
                  <c:v>19.2</c:v>
                </c:pt>
                <c:pt idx="1">
                  <c:v>8.6</c:v>
                </c:pt>
                <c:pt idx="2">
                  <c:v>43.3</c:v>
                </c:pt>
                <c:pt idx="3">
                  <c:v>13.5</c:v>
                </c:pt>
              </c:numCache>
            </c:numRef>
          </c:val>
        </c:ser>
        <c:ser>
          <c:idx val="2"/>
          <c:order val="2"/>
          <c:tx>
            <c:strRef>
              <c:f>Foglio1!$D$97</c:f>
              <c:strCache>
                <c:ptCount val="1"/>
                <c:pt idx="0">
                  <c:v>non risponde</c:v>
                </c:pt>
              </c:strCache>
            </c:strRef>
          </c:tx>
          <c:spPr>
            <a:solidFill>
              <a:srgbClr val="FF0000"/>
            </a:solidFill>
          </c:spPr>
          <c:invertIfNegative val="0"/>
          <c:dLbls>
            <c:dLbl>
              <c:idx val="1"/>
              <c:layout>
                <c:manualLayout>
                  <c:x val="5.66280566280566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Foglio1!$A$98:$A$101</c:f>
              <c:strCache>
                <c:ptCount val="4"/>
                <c:pt idx="0">
                  <c:v>Albo</c:v>
                </c:pt>
                <c:pt idx="1">
                  <c:v>Circolare interna</c:v>
                </c:pt>
                <c:pt idx="2">
                  <c:v>Comunicazione interna ed extrascolastica</c:v>
                </c:pt>
                <c:pt idx="3">
                  <c:v>Sito</c:v>
                </c:pt>
              </c:strCache>
            </c:strRef>
          </c:cat>
          <c:val>
            <c:numRef>
              <c:f>Foglio1!$D$98:$D$101</c:f>
              <c:numCache>
                <c:formatCode>General</c:formatCode>
                <c:ptCount val="4"/>
                <c:pt idx="0">
                  <c:v>14.4</c:v>
                </c:pt>
                <c:pt idx="1">
                  <c:v>4.8</c:v>
                </c:pt>
                <c:pt idx="2">
                  <c:v>24</c:v>
                </c:pt>
                <c:pt idx="3">
                  <c:v>21.1</c:v>
                </c:pt>
              </c:numCache>
            </c:numRef>
          </c:val>
        </c:ser>
        <c:dLbls>
          <c:showLegendKey val="0"/>
          <c:showVal val="1"/>
          <c:showCatName val="0"/>
          <c:showSerName val="0"/>
          <c:showPercent val="0"/>
          <c:showBubbleSize val="0"/>
        </c:dLbls>
        <c:gapWidth val="95"/>
        <c:overlap val="100"/>
        <c:axId val="151242624"/>
        <c:axId val="151244160"/>
      </c:barChart>
      <c:catAx>
        <c:axId val="151242624"/>
        <c:scaling>
          <c:orientation val="minMax"/>
        </c:scaling>
        <c:delete val="0"/>
        <c:axPos val="l"/>
        <c:majorTickMark val="none"/>
        <c:minorTickMark val="none"/>
        <c:tickLblPos val="nextTo"/>
        <c:crossAx val="151244160"/>
        <c:crosses val="autoZero"/>
        <c:auto val="1"/>
        <c:lblAlgn val="ctr"/>
        <c:lblOffset val="100"/>
        <c:noMultiLvlLbl val="0"/>
      </c:catAx>
      <c:valAx>
        <c:axId val="151244160"/>
        <c:scaling>
          <c:orientation val="minMax"/>
        </c:scaling>
        <c:delete val="1"/>
        <c:axPos val="b"/>
        <c:numFmt formatCode="General" sourceLinked="1"/>
        <c:majorTickMark val="out"/>
        <c:minorTickMark val="none"/>
        <c:tickLblPos val="none"/>
        <c:crossAx val="151242624"/>
        <c:crosses val="autoZero"/>
        <c:crossBetween val="between"/>
      </c:valAx>
    </c:plotArea>
    <c:legend>
      <c:legendPos val="t"/>
      <c:overlay val="0"/>
    </c:legend>
    <c:plotVisOnly val="1"/>
    <c:dispBlanksAs val="gap"/>
    <c:showDLblsOverMax val="0"/>
  </c:chart>
  <c:txPr>
    <a:bodyPr/>
    <a:lstStyle/>
    <a:p>
      <a:pPr>
        <a:defRPr sz="800"/>
      </a:pPr>
      <a:endParaRPr lang="it-I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Foglio1!$A$359</c:f>
              <c:strCache>
                <c:ptCount val="1"/>
                <c:pt idx="0">
                  <c:v>I ciclo</c:v>
                </c:pt>
              </c:strCache>
            </c:strRef>
          </c:tx>
          <c:spPr>
            <a:solidFill>
              <a:schemeClr val="accent1"/>
            </a:solidFill>
          </c:spPr>
          <c:invertIfNegative val="0"/>
          <c:cat>
            <c:strRef>
              <c:f>Foglio1!$B$358:$E$358</c:f>
              <c:strCache>
                <c:ptCount val="4"/>
                <c:pt idx="0">
                  <c:v>Albo</c:v>
                </c:pt>
                <c:pt idx="1">
                  <c:v>Circolare interna</c:v>
                </c:pt>
                <c:pt idx="2">
                  <c:v>Comunicazione interna ed extrascolastica</c:v>
                </c:pt>
                <c:pt idx="3">
                  <c:v>Sito</c:v>
                </c:pt>
              </c:strCache>
            </c:strRef>
          </c:cat>
          <c:val>
            <c:numRef>
              <c:f>Foglio1!$B$359:$E$359</c:f>
              <c:numCache>
                <c:formatCode>General</c:formatCode>
                <c:ptCount val="4"/>
                <c:pt idx="0">
                  <c:v>65.2</c:v>
                </c:pt>
                <c:pt idx="1">
                  <c:v>87.5</c:v>
                </c:pt>
                <c:pt idx="2">
                  <c:v>27.7</c:v>
                </c:pt>
                <c:pt idx="3">
                  <c:v>61.1</c:v>
                </c:pt>
              </c:numCache>
            </c:numRef>
          </c:val>
        </c:ser>
        <c:ser>
          <c:idx val="1"/>
          <c:order val="1"/>
          <c:tx>
            <c:strRef>
              <c:f>Foglio1!$A$360</c:f>
              <c:strCache>
                <c:ptCount val="1"/>
                <c:pt idx="0">
                  <c:v>II ciclo</c:v>
                </c:pt>
              </c:strCache>
            </c:strRef>
          </c:tx>
          <c:spPr>
            <a:solidFill>
              <a:schemeClr val="accent6"/>
            </a:solidFill>
          </c:spPr>
          <c:invertIfNegative val="0"/>
          <c:cat>
            <c:strRef>
              <c:f>Foglio1!$B$358:$E$358</c:f>
              <c:strCache>
                <c:ptCount val="4"/>
                <c:pt idx="0">
                  <c:v>Albo</c:v>
                </c:pt>
                <c:pt idx="1">
                  <c:v>Circolare interna</c:v>
                </c:pt>
                <c:pt idx="2">
                  <c:v>Comunicazione interna ed extrascolastica</c:v>
                </c:pt>
                <c:pt idx="3">
                  <c:v>Sito</c:v>
                </c:pt>
              </c:strCache>
            </c:strRef>
          </c:cat>
          <c:val>
            <c:numRef>
              <c:f>Foglio1!$B$360:$E$360</c:f>
              <c:numCache>
                <c:formatCode>General</c:formatCode>
                <c:ptCount val="4"/>
                <c:pt idx="0">
                  <c:v>68.7</c:v>
                </c:pt>
                <c:pt idx="1">
                  <c:v>84.3</c:v>
                </c:pt>
                <c:pt idx="2">
                  <c:v>43.7</c:v>
                </c:pt>
                <c:pt idx="3">
                  <c:v>75</c:v>
                </c:pt>
              </c:numCache>
            </c:numRef>
          </c:val>
        </c:ser>
        <c:dLbls>
          <c:showLegendKey val="0"/>
          <c:showVal val="1"/>
          <c:showCatName val="0"/>
          <c:showSerName val="0"/>
          <c:showPercent val="0"/>
          <c:showBubbleSize val="0"/>
        </c:dLbls>
        <c:gapWidth val="150"/>
        <c:overlap val="-25"/>
        <c:axId val="151909504"/>
        <c:axId val="151911040"/>
      </c:barChart>
      <c:catAx>
        <c:axId val="151909504"/>
        <c:scaling>
          <c:orientation val="minMax"/>
        </c:scaling>
        <c:delete val="0"/>
        <c:axPos val="b"/>
        <c:majorTickMark val="none"/>
        <c:minorTickMark val="none"/>
        <c:tickLblPos val="nextTo"/>
        <c:crossAx val="151911040"/>
        <c:crosses val="autoZero"/>
        <c:auto val="1"/>
        <c:lblAlgn val="ctr"/>
        <c:lblOffset val="100"/>
        <c:noMultiLvlLbl val="0"/>
      </c:catAx>
      <c:valAx>
        <c:axId val="151911040"/>
        <c:scaling>
          <c:orientation val="minMax"/>
        </c:scaling>
        <c:delete val="1"/>
        <c:axPos val="l"/>
        <c:numFmt formatCode="General" sourceLinked="1"/>
        <c:majorTickMark val="out"/>
        <c:minorTickMark val="none"/>
        <c:tickLblPos val="none"/>
        <c:crossAx val="151909504"/>
        <c:crosses val="autoZero"/>
        <c:crossBetween val="between"/>
      </c:valAx>
    </c:plotArea>
    <c:legend>
      <c:legendPos val="t"/>
      <c:overlay val="0"/>
    </c:legend>
    <c:plotVisOnly val="1"/>
    <c:dispBlanksAs val="gap"/>
    <c:showDLblsOverMax val="0"/>
  </c:chart>
  <c:txPr>
    <a:bodyPr/>
    <a:lstStyle/>
    <a:p>
      <a:pPr>
        <a:defRPr sz="800"/>
      </a:pPr>
      <a:endParaRPr lang="it-I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5">
                <a:lumMod val="40000"/>
                <a:lumOff val="60000"/>
              </a:schemeClr>
            </a:solidFill>
          </c:spPr>
          <c:invertIfNegative val="0"/>
          <c:dLbls>
            <c:txPr>
              <a:bodyPr/>
              <a:lstStyle/>
              <a:p>
                <a:pPr>
                  <a:defRPr sz="800"/>
                </a:pPr>
                <a:endParaRPr lang="it-IT"/>
              </a:p>
            </c:txPr>
            <c:showLegendKey val="0"/>
            <c:showVal val="1"/>
            <c:showCatName val="0"/>
            <c:showSerName val="0"/>
            <c:showPercent val="0"/>
            <c:showBubbleSize val="0"/>
            <c:showLeaderLines val="0"/>
          </c:dLbls>
          <c:cat>
            <c:strRef>
              <c:f>Foglio1!$B$276:$B$277</c:f>
              <c:strCache>
                <c:ptCount val="2"/>
                <c:pt idx="0">
                  <c:v>singolo docente</c:v>
                </c:pt>
                <c:pt idx="1">
                  <c:v>gruppi di docenti</c:v>
                </c:pt>
              </c:strCache>
            </c:strRef>
          </c:cat>
          <c:val>
            <c:numRef>
              <c:f>Foglio1!$C$276:$C$277</c:f>
              <c:numCache>
                <c:formatCode>General</c:formatCode>
                <c:ptCount val="2"/>
                <c:pt idx="0">
                  <c:v>95.7</c:v>
                </c:pt>
                <c:pt idx="1">
                  <c:v>3.4</c:v>
                </c:pt>
              </c:numCache>
            </c:numRef>
          </c:val>
        </c:ser>
        <c:dLbls>
          <c:showLegendKey val="0"/>
          <c:showVal val="1"/>
          <c:showCatName val="0"/>
          <c:showSerName val="0"/>
          <c:showPercent val="0"/>
          <c:showBubbleSize val="0"/>
        </c:dLbls>
        <c:gapWidth val="150"/>
        <c:overlap val="-25"/>
        <c:axId val="152246144"/>
        <c:axId val="152252800"/>
      </c:barChart>
      <c:catAx>
        <c:axId val="152246144"/>
        <c:scaling>
          <c:orientation val="minMax"/>
        </c:scaling>
        <c:delete val="0"/>
        <c:axPos val="b"/>
        <c:majorTickMark val="none"/>
        <c:minorTickMark val="none"/>
        <c:tickLblPos val="nextTo"/>
        <c:txPr>
          <a:bodyPr/>
          <a:lstStyle/>
          <a:p>
            <a:pPr>
              <a:defRPr sz="800"/>
            </a:pPr>
            <a:endParaRPr lang="it-IT"/>
          </a:p>
        </c:txPr>
        <c:crossAx val="152252800"/>
        <c:crosses val="autoZero"/>
        <c:auto val="1"/>
        <c:lblAlgn val="ctr"/>
        <c:lblOffset val="100"/>
        <c:noMultiLvlLbl val="0"/>
      </c:catAx>
      <c:valAx>
        <c:axId val="152252800"/>
        <c:scaling>
          <c:orientation val="minMax"/>
        </c:scaling>
        <c:delete val="1"/>
        <c:axPos val="l"/>
        <c:numFmt formatCode="General" sourceLinked="1"/>
        <c:majorTickMark val="out"/>
        <c:minorTickMark val="none"/>
        <c:tickLblPos val="none"/>
        <c:crossAx val="15224614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5">
                <a:lumMod val="40000"/>
                <a:lumOff val="60000"/>
              </a:schemeClr>
            </a:solidFill>
          </c:spPr>
          <c:invertIfNegative val="0"/>
          <c:cat>
            <c:strRef>
              <c:f>Foglio1!$A$286:$A$288</c:f>
              <c:strCache>
                <c:ptCount val="3"/>
                <c:pt idx="0">
                  <c:v>infanzia</c:v>
                </c:pt>
                <c:pt idx="1">
                  <c:v>primaria</c:v>
                </c:pt>
                <c:pt idx="2">
                  <c:v>secondaria I grado</c:v>
                </c:pt>
              </c:strCache>
            </c:strRef>
          </c:cat>
          <c:val>
            <c:numRef>
              <c:f>Foglio1!$B$286:$B$288</c:f>
              <c:numCache>
                <c:formatCode>General</c:formatCode>
                <c:ptCount val="3"/>
                <c:pt idx="0">
                  <c:v>14.6</c:v>
                </c:pt>
                <c:pt idx="1">
                  <c:v>34.4</c:v>
                </c:pt>
                <c:pt idx="2">
                  <c:v>25.6</c:v>
                </c:pt>
              </c:numCache>
            </c:numRef>
          </c:val>
        </c:ser>
        <c:dLbls>
          <c:showLegendKey val="0"/>
          <c:showVal val="1"/>
          <c:showCatName val="0"/>
          <c:showSerName val="0"/>
          <c:showPercent val="0"/>
          <c:showBubbleSize val="0"/>
        </c:dLbls>
        <c:gapWidth val="150"/>
        <c:overlap val="-25"/>
        <c:axId val="152277376"/>
        <c:axId val="152278912"/>
      </c:barChart>
      <c:catAx>
        <c:axId val="152277376"/>
        <c:scaling>
          <c:orientation val="minMax"/>
        </c:scaling>
        <c:delete val="0"/>
        <c:axPos val="b"/>
        <c:majorTickMark val="none"/>
        <c:minorTickMark val="none"/>
        <c:tickLblPos val="nextTo"/>
        <c:crossAx val="152278912"/>
        <c:crosses val="autoZero"/>
        <c:auto val="1"/>
        <c:lblAlgn val="ctr"/>
        <c:lblOffset val="100"/>
        <c:noMultiLvlLbl val="0"/>
      </c:catAx>
      <c:valAx>
        <c:axId val="152278912"/>
        <c:scaling>
          <c:orientation val="minMax"/>
        </c:scaling>
        <c:delete val="1"/>
        <c:axPos val="l"/>
        <c:numFmt formatCode="General" sourceLinked="1"/>
        <c:majorTickMark val="out"/>
        <c:minorTickMark val="none"/>
        <c:tickLblPos val="none"/>
        <c:crossAx val="152277376"/>
        <c:crosses val="autoZero"/>
        <c:crossBetween val="between"/>
      </c:valAx>
    </c:plotArea>
    <c:plotVisOnly val="1"/>
    <c:dispBlanksAs val="gap"/>
    <c:showDLblsOverMax val="0"/>
  </c:chart>
  <c:txPr>
    <a:bodyPr/>
    <a:lstStyle/>
    <a:p>
      <a:pPr>
        <a:defRPr sz="800"/>
      </a:pPr>
      <a:endParaRPr lang="it-IT"/>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3834B98C894D1E91D5F4908FEAECD9"/>
        <w:category>
          <w:name w:val="Generale"/>
          <w:gallery w:val="placeholder"/>
        </w:category>
        <w:types>
          <w:type w:val="bbPlcHdr"/>
        </w:types>
        <w:behaviors>
          <w:behavior w:val="content"/>
        </w:behaviors>
        <w:guid w:val="{718F884C-2F74-4A5E-98DC-8063326D96DC}"/>
      </w:docPartPr>
      <w:docPartBody>
        <w:p w:rsidR="00F37F00" w:rsidRDefault="00F37F00" w:rsidP="00F37F00">
          <w:pPr>
            <w:pStyle w:val="F33834B98C894D1E91D5F4908FEAECD9"/>
          </w:pPr>
          <w:r>
            <w:t>[Digitare il nome della società]</w:t>
          </w:r>
        </w:p>
      </w:docPartBody>
    </w:docPart>
    <w:docPart>
      <w:docPartPr>
        <w:name w:val="6424FF10C2754580ABDD3F6FC8442028"/>
        <w:category>
          <w:name w:val="Generale"/>
          <w:gallery w:val="placeholder"/>
        </w:category>
        <w:types>
          <w:type w:val="bbPlcHdr"/>
        </w:types>
        <w:behaviors>
          <w:behavior w:val="content"/>
        </w:behaviors>
        <w:guid w:val="{BB7A35AA-0778-4425-9178-BA6FB7C48CDB}"/>
      </w:docPartPr>
      <w:docPartBody>
        <w:p w:rsidR="00F37F00" w:rsidRDefault="00F37F00" w:rsidP="00F37F00">
          <w:pPr>
            <w:pStyle w:val="6424FF10C2754580ABDD3F6FC8442028"/>
          </w:pPr>
          <w:r>
            <w:rPr>
              <w:b/>
              <w:bCs/>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2"/>
  </w:compat>
  <w:rsids>
    <w:rsidRoot w:val="00F37F00"/>
    <w:rsid w:val="00174F69"/>
    <w:rsid w:val="002703FD"/>
    <w:rsid w:val="003655C8"/>
    <w:rsid w:val="004A681B"/>
    <w:rsid w:val="004A700A"/>
    <w:rsid w:val="00580155"/>
    <w:rsid w:val="00694685"/>
    <w:rsid w:val="006A2125"/>
    <w:rsid w:val="00710D0C"/>
    <w:rsid w:val="007E1130"/>
    <w:rsid w:val="0092118D"/>
    <w:rsid w:val="00A247E7"/>
    <w:rsid w:val="00BE2C5E"/>
    <w:rsid w:val="00BE769A"/>
    <w:rsid w:val="00C738B7"/>
    <w:rsid w:val="00DC3F89"/>
    <w:rsid w:val="00ED5988"/>
    <w:rsid w:val="00F00D7E"/>
    <w:rsid w:val="00F37F00"/>
    <w:rsid w:val="00F84D2C"/>
    <w:rsid w:val="00FE38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01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33834B98C894D1E91D5F4908FEAECD9">
    <w:name w:val="F33834B98C894D1E91D5F4908FEAECD9"/>
    <w:rsid w:val="00F37F00"/>
  </w:style>
  <w:style w:type="paragraph" w:customStyle="1" w:styleId="6424FF10C2754580ABDD3F6FC8442028">
    <w:name w:val="6424FF10C2754580ABDD3F6FC8442028"/>
    <w:rsid w:val="00F37F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F341A-F866-484D-BA9E-96F54DF3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3501</Words>
  <Characters>19960</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DT. M. Torelli Staff G. Priotti, P. Nervo</vt:lpstr>
    </vt:vector>
  </TitlesOfParts>
  <Company>Valorizzazione Professionale</Company>
  <LinksUpToDate>false</LinksUpToDate>
  <CharactersWithSpaces>23415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 M. Torelli Staff G. Priotti, P. Nervo</dc:title>
  <dc:creator>Administrator</dc:creator>
  <cp:lastModifiedBy>MIUR</cp:lastModifiedBy>
  <cp:revision>5</cp:revision>
  <cp:lastPrinted>2016-08-26T15:39:00Z</cp:lastPrinted>
  <dcterms:created xsi:type="dcterms:W3CDTF">2016-10-25T14:35:00Z</dcterms:created>
  <dcterms:modified xsi:type="dcterms:W3CDTF">2016-10-25T14:54:00Z</dcterms:modified>
</cp:coreProperties>
</file>